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6E" w:rsidRDefault="0065226E" w:rsidP="0065226E">
      <w:pPr>
        <w:pStyle w:val="NoSpacing"/>
      </w:pPr>
      <w:r>
        <w:t>Reflection on Learning Skills</w:t>
      </w:r>
    </w:p>
    <w:p w:rsidR="0065226E" w:rsidRDefault="0065226E" w:rsidP="0065226E">
      <w:pPr>
        <w:pStyle w:val="NoSpacing"/>
      </w:pPr>
    </w:p>
    <w:p w:rsidR="0065226E" w:rsidRDefault="0065226E" w:rsidP="0065226E">
      <w:pPr>
        <w:pStyle w:val="NoSpacing"/>
      </w:pPr>
      <w:r>
        <w:t>Use the four readings on learning skills listed below to answer the following questions.</w:t>
      </w:r>
    </w:p>
    <w:p w:rsidR="0065226E" w:rsidRDefault="0065226E" w:rsidP="0065226E">
      <w:pPr>
        <w:pStyle w:val="NoSpacing"/>
        <w:numPr>
          <w:ilvl w:val="0"/>
          <w:numId w:val="12"/>
        </w:numPr>
      </w:pPr>
      <w:r>
        <w:t>Brain-Based Reading I</w:t>
      </w:r>
    </w:p>
    <w:p w:rsidR="0065226E" w:rsidRDefault="0065226E" w:rsidP="0065226E">
      <w:pPr>
        <w:pStyle w:val="NoSpacing"/>
        <w:numPr>
          <w:ilvl w:val="0"/>
          <w:numId w:val="12"/>
        </w:numPr>
      </w:pPr>
      <w:r>
        <w:t>Brain-Based Reading II</w:t>
      </w:r>
    </w:p>
    <w:p w:rsidR="0065226E" w:rsidRDefault="0065226E" w:rsidP="0065226E">
      <w:pPr>
        <w:pStyle w:val="NoSpacing"/>
        <w:numPr>
          <w:ilvl w:val="0"/>
          <w:numId w:val="12"/>
        </w:numPr>
      </w:pPr>
      <w:r>
        <w:t>Studying and Learning Math</w:t>
      </w:r>
    </w:p>
    <w:p w:rsidR="0065226E" w:rsidRDefault="0065226E" w:rsidP="0065226E">
      <w:pPr>
        <w:pStyle w:val="NoSpacing"/>
        <w:numPr>
          <w:ilvl w:val="0"/>
          <w:numId w:val="12"/>
        </w:numPr>
      </w:pPr>
      <w:r>
        <w:t>Self-Assessment</w:t>
      </w:r>
    </w:p>
    <w:p w:rsidR="0065226E" w:rsidRDefault="0065226E" w:rsidP="0065226E">
      <w:pPr>
        <w:pStyle w:val="NoSpacing"/>
      </w:pPr>
    </w:p>
    <w:p w:rsidR="0065226E" w:rsidRDefault="0065226E" w:rsidP="0065226E">
      <w:pPr>
        <w:pStyle w:val="NoSpacing"/>
        <w:numPr>
          <w:ilvl w:val="0"/>
          <w:numId w:val="13"/>
        </w:numPr>
      </w:pPr>
      <w:r>
        <w:t>Name two things that help dendrites grow.</w:t>
      </w:r>
    </w:p>
    <w:p w:rsidR="0065226E" w:rsidRDefault="0065226E" w:rsidP="0065226E">
      <w:pPr>
        <w:pStyle w:val="NoSpacing"/>
      </w:pPr>
    </w:p>
    <w:p w:rsidR="0065226E" w:rsidRDefault="0065226E" w:rsidP="0065226E">
      <w:pPr>
        <w:pStyle w:val="NoSpacing"/>
      </w:pPr>
    </w:p>
    <w:p w:rsidR="003E3E43" w:rsidRDefault="003E3E43" w:rsidP="0065226E">
      <w:pPr>
        <w:pStyle w:val="NoSpacing"/>
      </w:pPr>
    </w:p>
    <w:p w:rsidR="003E3E43" w:rsidRDefault="003E3E43"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numPr>
          <w:ilvl w:val="0"/>
          <w:numId w:val="13"/>
        </w:numPr>
      </w:pPr>
      <w:r>
        <w:t>What is “pruning” and why does it occur?</w:t>
      </w: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numPr>
          <w:ilvl w:val="0"/>
          <w:numId w:val="13"/>
        </w:numPr>
      </w:pPr>
      <w:r>
        <w:t>Name one thing that helps move information from short-term to long-term memory.</w:t>
      </w: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65226E" w:rsidRDefault="0065226E" w:rsidP="0065226E">
      <w:pPr>
        <w:pStyle w:val="NoSpacing"/>
      </w:pPr>
    </w:p>
    <w:p w:rsidR="003E3E43" w:rsidRDefault="003E3E43" w:rsidP="0065226E">
      <w:pPr>
        <w:pStyle w:val="NoSpacing"/>
      </w:pPr>
    </w:p>
    <w:p w:rsidR="003E3E43" w:rsidRDefault="003E3E43" w:rsidP="0065226E">
      <w:pPr>
        <w:pStyle w:val="NoSpacing"/>
      </w:pPr>
    </w:p>
    <w:p w:rsidR="0065226E" w:rsidRDefault="0065226E" w:rsidP="0065226E">
      <w:pPr>
        <w:pStyle w:val="NoSpacing"/>
        <w:numPr>
          <w:ilvl w:val="0"/>
          <w:numId w:val="13"/>
        </w:numPr>
      </w:pPr>
      <w:r>
        <w:t>What does the phrase “Not Too Hot – Not Too Cold, but Just Right” mean?</w:t>
      </w:r>
    </w:p>
    <w:p w:rsidR="0065226E" w:rsidRDefault="0065226E" w:rsidP="00EA6D2B">
      <w:pPr>
        <w:rPr>
          <w:b/>
        </w:rPr>
      </w:pPr>
    </w:p>
    <w:p w:rsidR="0065226E" w:rsidRDefault="0065226E" w:rsidP="00EA6D2B">
      <w:pPr>
        <w:rPr>
          <w:b/>
        </w:rPr>
      </w:pPr>
    </w:p>
    <w:p w:rsidR="0065226E" w:rsidRDefault="0065226E" w:rsidP="00EA6D2B">
      <w:pPr>
        <w:rPr>
          <w:b/>
        </w:rPr>
      </w:pPr>
    </w:p>
    <w:p w:rsidR="0065226E" w:rsidRDefault="0065226E" w:rsidP="00EA6D2B">
      <w:pPr>
        <w:rPr>
          <w:b/>
        </w:rPr>
      </w:pPr>
    </w:p>
    <w:p w:rsidR="0065226E" w:rsidRDefault="0065226E" w:rsidP="00EA6D2B">
      <w:pPr>
        <w:rPr>
          <w:b/>
        </w:rPr>
      </w:pPr>
    </w:p>
    <w:p w:rsidR="0065226E" w:rsidRDefault="0065226E" w:rsidP="00EA6D2B">
      <w:pPr>
        <w:rPr>
          <w:b/>
        </w:rPr>
      </w:pPr>
    </w:p>
    <w:p w:rsidR="0065226E" w:rsidRDefault="0065226E" w:rsidP="00EA6D2B">
      <w:pPr>
        <w:rPr>
          <w:b/>
        </w:rPr>
      </w:pPr>
    </w:p>
    <w:p w:rsidR="0065226E" w:rsidRDefault="0065226E" w:rsidP="00EA6D2B">
      <w:pPr>
        <w:rPr>
          <w:b/>
        </w:rPr>
      </w:pPr>
    </w:p>
    <w:p w:rsidR="00EA6D2B" w:rsidRDefault="00EA6D2B" w:rsidP="00EA6D2B">
      <w:r>
        <w:rPr>
          <w:b/>
        </w:rPr>
        <w:lastRenderedPageBreak/>
        <w:t>Thinking Ahead about Positive and Negative Numbers</w:t>
      </w:r>
      <w:r>
        <w:t xml:space="preserve"> – You should understand these questions fully before the next class.  Check your answers with the key on your instructor’s website.  </w:t>
      </w:r>
      <w:r w:rsidRPr="009433BC">
        <w:t xml:space="preserve"> </w:t>
      </w:r>
      <w:r>
        <w:t>You can get help with this work from the following sources:</w:t>
      </w:r>
    </w:p>
    <w:p w:rsidR="00EA6D2B" w:rsidRPr="00134B72" w:rsidRDefault="00EA6D2B" w:rsidP="00EA6D2B">
      <w:pPr>
        <w:pStyle w:val="NoSpacing"/>
        <w:numPr>
          <w:ilvl w:val="0"/>
          <w:numId w:val="1"/>
        </w:numPr>
      </w:pPr>
      <w:r>
        <w:t>Sections 1.1 and 1.2 in your textbook</w:t>
      </w:r>
    </w:p>
    <w:p w:rsidR="00EA6D2B" w:rsidRDefault="00EA6D2B" w:rsidP="00EA6D2B">
      <w:pPr>
        <w:pStyle w:val="NoSpacing"/>
        <w:numPr>
          <w:ilvl w:val="0"/>
          <w:numId w:val="1"/>
        </w:numPr>
      </w:pPr>
      <w:r>
        <w:t>Visit your instructor during office hours</w:t>
      </w:r>
    </w:p>
    <w:p w:rsidR="00EA6D2B" w:rsidRDefault="00EA6D2B" w:rsidP="00EA6D2B">
      <w:pPr>
        <w:pStyle w:val="NoSpacing"/>
        <w:numPr>
          <w:ilvl w:val="0"/>
          <w:numId w:val="1"/>
        </w:numPr>
      </w:pPr>
      <w:r>
        <w:t>Go to the Algebra Alcove</w:t>
      </w:r>
    </w:p>
    <w:p w:rsidR="00EA6D2B" w:rsidRDefault="00EA6D2B" w:rsidP="00EA6D2B">
      <w:pPr>
        <w:pStyle w:val="NoSpacing"/>
        <w:numPr>
          <w:ilvl w:val="0"/>
          <w:numId w:val="1"/>
        </w:numPr>
      </w:pPr>
      <w:r>
        <w:t>Use the following resources on the Internet:</w:t>
      </w:r>
    </w:p>
    <w:p w:rsidR="003A50AD" w:rsidRDefault="003A50AD" w:rsidP="003A50AD">
      <w:pPr>
        <w:pStyle w:val="NoSpacing"/>
        <w:ind w:left="720"/>
      </w:pPr>
      <w:r>
        <w:rPr>
          <w:b/>
        </w:rPr>
        <w:t>Adding negative and positive numbers:</w:t>
      </w:r>
    </w:p>
    <w:p w:rsidR="003A50AD" w:rsidRDefault="008A74A7" w:rsidP="003A50AD">
      <w:pPr>
        <w:pStyle w:val="NoSpacing"/>
        <w:numPr>
          <w:ilvl w:val="0"/>
          <w:numId w:val="10"/>
        </w:numPr>
      </w:pPr>
      <w:hyperlink r:id="rId7" w:history="1">
        <w:r w:rsidR="003A50AD" w:rsidRPr="003A50AD">
          <w:rPr>
            <w:rStyle w:val="Hyperlink"/>
          </w:rPr>
          <w:t>http://www.youtube.com/watch?v=C38B33ZywWs&amp;feature=youtube_gdata</w:t>
        </w:r>
      </w:hyperlink>
    </w:p>
    <w:p w:rsidR="003A50AD" w:rsidRDefault="008A74A7" w:rsidP="003A50AD">
      <w:pPr>
        <w:pStyle w:val="NoSpacing"/>
        <w:numPr>
          <w:ilvl w:val="0"/>
          <w:numId w:val="10"/>
        </w:numPr>
      </w:pPr>
      <w:hyperlink r:id="rId8" w:history="1">
        <w:r w:rsidR="003A50AD" w:rsidRPr="003A50AD">
          <w:rPr>
            <w:rStyle w:val="Hyperlink"/>
          </w:rPr>
          <w:t>http://www.math.com/school/subject1/lessons/S1U1L11GL.html#sm3</w:t>
        </w:r>
      </w:hyperlink>
    </w:p>
    <w:p w:rsidR="003A50AD" w:rsidRDefault="008A74A7" w:rsidP="003A50AD">
      <w:pPr>
        <w:pStyle w:val="NoSpacing"/>
        <w:numPr>
          <w:ilvl w:val="0"/>
          <w:numId w:val="10"/>
        </w:numPr>
      </w:pPr>
      <w:hyperlink r:id="rId9" w:history="1">
        <w:r w:rsidR="003A50AD" w:rsidRPr="003A50AD">
          <w:rPr>
            <w:rStyle w:val="Hyperlink"/>
          </w:rPr>
          <w:t>http://www.purplemath.com/modules/negative2.htm</w:t>
        </w:r>
      </w:hyperlink>
    </w:p>
    <w:p w:rsidR="00EA6D2B" w:rsidRDefault="008A74A7" w:rsidP="003A50AD">
      <w:pPr>
        <w:pStyle w:val="NoSpacing"/>
        <w:numPr>
          <w:ilvl w:val="0"/>
          <w:numId w:val="10"/>
        </w:numPr>
      </w:pPr>
      <w:hyperlink r:id="rId10" w:history="1">
        <w:r w:rsidR="003A50AD" w:rsidRPr="003A50AD">
          <w:rPr>
            <w:rStyle w:val="Hyperlink"/>
          </w:rPr>
          <w:t>http://nlvm.usu.edu/en/nav/frames_asid_161_g_1_t_1.html?from=topic_t_1.html</w:t>
        </w:r>
      </w:hyperlink>
      <w:r w:rsidR="003A50AD">
        <w:t xml:space="preserve"> – </w:t>
      </w:r>
      <w:r w:rsidR="003A50AD" w:rsidRPr="003A50AD">
        <w:rPr>
          <w:b/>
        </w:rPr>
        <w:t>Note:  This site does not provide explanation, but it has an interactive feature that creates a visual representation of addition.</w:t>
      </w:r>
    </w:p>
    <w:p w:rsidR="00EA6D2B" w:rsidRDefault="00EA6D2B" w:rsidP="00EA6D2B">
      <w:pPr>
        <w:pStyle w:val="NoSpacing"/>
        <w:ind w:left="720"/>
      </w:pPr>
    </w:p>
    <w:p w:rsidR="00EA6D2B" w:rsidRDefault="00EA6D2B" w:rsidP="00EA6D2B">
      <w:pPr>
        <w:pStyle w:val="NoSpacing"/>
      </w:pPr>
    </w:p>
    <w:p w:rsidR="00EA6D2B" w:rsidRDefault="00EA6D2B" w:rsidP="00EA6D2B">
      <w:pPr>
        <w:pStyle w:val="NoSpacing"/>
      </w:pPr>
      <w:r>
        <w:rPr>
          <w:b/>
        </w:rPr>
        <w:t>Write the name of the number set from the list below by each description.</w:t>
      </w:r>
    </w:p>
    <w:p w:rsidR="00EA6D2B" w:rsidRDefault="00EA6D2B" w:rsidP="00EA6D2B">
      <w:pPr>
        <w:pStyle w:val="NoSpacing"/>
      </w:pPr>
    </w:p>
    <w:p w:rsidR="00EA6D2B" w:rsidRPr="00EA6D2B" w:rsidRDefault="00EA6D2B" w:rsidP="00EA6D2B">
      <w:pPr>
        <w:pStyle w:val="NoSpacing"/>
        <w:ind w:left="720" w:firstLine="720"/>
        <w:rPr>
          <w:b/>
        </w:rPr>
      </w:pPr>
      <w:r w:rsidRPr="00EA6D2B">
        <w:rPr>
          <w:b/>
        </w:rPr>
        <w:t>Real Numbers</w:t>
      </w:r>
      <w:r w:rsidRPr="00EA6D2B">
        <w:rPr>
          <w:b/>
        </w:rPr>
        <w:tab/>
      </w:r>
      <w:r w:rsidRPr="00EA6D2B">
        <w:rPr>
          <w:b/>
        </w:rPr>
        <w:tab/>
        <w:t>Rational Numbers</w:t>
      </w:r>
      <w:r w:rsidRPr="00EA6D2B">
        <w:rPr>
          <w:b/>
        </w:rPr>
        <w:tab/>
      </w:r>
      <w:r w:rsidRPr="00EA6D2B">
        <w:rPr>
          <w:b/>
        </w:rPr>
        <w:tab/>
        <w:t>Integers</w:t>
      </w:r>
    </w:p>
    <w:p w:rsidR="00EA6D2B" w:rsidRDefault="00EA6D2B" w:rsidP="00EA6D2B">
      <w:pPr>
        <w:pStyle w:val="NoSpacing"/>
      </w:pPr>
    </w:p>
    <w:p w:rsidR="00EA6D2B" w:rsidRDefault="00EA6D2B" w:rsidP="00EA6D2B">
      <w:pPr>
        <w:pStyle w:val="NoSpacing"/>
        <w:numPr>
          <w:ilvl w:val="0"/>
          <w:numId w:val="2"/>
        </w:numPr>
      </w:pPr>
      <w:r>
        <w:t>_______________________</w:t>
      </w:r>
      <w:proofErr w:type="gramStart"/>
      <w:r>
        <w:t>_  The</w:t>
      </w:r>
      <w:proofErr w:type="gramEnd"/>
      <w:r>
        <w:t xml:space="preserve"> whole numbers and their opposites {…-3, -2, -1, 0, 1, 2, 3,…}</w:t>
      </w:r>
    </w:p>
    <w:p w:rsidR="00EA6D2B" w:rsidRDefault="00EA6D2B" w:rsidP="00EA6D2B">
      <w:pPr>
        <w:pStyle w:val="NoSpacing"/>
      </w:pPr>
    </w:p>
    <w:p w:rsidR="00EA6D2B" w:rsidRDefault="00EA6D2B" w:rsidP="00EA6D2B">
      <w:pPr>
        <w:pStyle w:val="NoSpacing"/>
        <w:numPr>
          <w:ilvl w:val="0"/>
          <w:numId w:val="2"/>
        </w:numPr>
      </w:pPr>
      <w:r>
        <w:t>________________________All numbers that can be represented on the number line.</w:t>
      </w:r>
    </w:p>
    <w:p w:rsidR="00EA6D2B" w:rsidRDefault="00EA6D2B" w:rsidP="00EA6D2B">
      <w:pPr>
        <w:pStyle w:val="ListParagraph"/>
      </w:pPr>
    </w:p>
    <w:p w:rsidR="00EA6D2B" w:rsidRPr="00EA6D2B" w:rsidRDefault="00EA6D2B" w:rsidP="00EA6D2B">
      <w:pPr>
        <w:pStyle w:val="NoSpacing"/>
        <w:numPr>
          <w:ilvl w:val="0"/>
          <w:numId w:val="2"/>
        </w:numPr>
      </w:pPr>
      <w:r>
        <w:t xml:space="preserve">________________________All numbers that can be written </w:t>
      </w:r>
      <w:proofErr w:type="gramStart"/>
      <w:r>
        <w:t xml:space="preserve">as </w:t>
      </w:r>
      <m:oMath>
        <w:proofErr w:type="gramEnd"/>
        <m:f>
          <m:fPr>
            <m:ctrlPr>
              <w:rPr>
                <w:rFonts w:ascii="Cambria Math" w:hAnsi="Cambria Math"/>
                <w:i/>
              </w:rPr>
            </m:ctrlPr>
          </m:fPr>
          <m:num>
            <m:r>
              <w:rPr>
                <w:rFonts w:ascii="Cambria Math" w:hAnsi="Cambria Math"/>
              </w:rPr>
              <m:t>a</m:t>
            </m:r>
          </m:num>
          <m:den>
            <m:r>
              <w:rPr>
                <w:rFonts w:ascii="Cambria Math" w:hAnsi="Cambria Math"/>
              </w:rPr>
              <m:t>b</m:t>
            </m:r>
          </m:den>
        </m:f>
      </m:oMath>
      <w:r>
        <w:rPr>
          <w:rFonts w:eastAsiaTheme="minorEastAsia"/>
        </w:rPr>
        <w:t xml:space="preserve">, where </w:t>
      </w:r>
      <w:r>
        <w:rPr>
          <w:rFonts w:eastAsiaTheme="minorEastAsia"/>
          <w:i/>
        </w:rPr>
        <w:t xml:space="preserve">a </w:t>
      </w:r>
      <w:r>
        <w:rPr>
          <w:rFonts w:eastAsiaTheme="minorEastAsia"/>
        </w:rPr>
        <w:t xml:space="preserve"> and </w:t>
      </w:r>
      <w:r>
        <w:rPr>
          <w:rFonts w:eastAsiaTheme="minorEastAsia"/>
          <w:i/>
        </w:rPr>
        <w:t xml:space="preserve">b </w:t>
      </w:r>
      <w:r>
        <w:rPr>
          <w:rFonts w:eastAsiaTheme="minorEastAsia"/>
        </w:rPr>
        <w:t xml:space="preserve"> are integers and </w:t>
      </w:r>
      <w:r w:rsidRPr="00EA6D2B">
        <w:rPr>
          <w:rFonts w:eastAsiaTheme="minorEastAsia"/>
          <w:i/>
        </w:rPr>
        <w:t>b</w:t>
      </w:r>
      <w:r>
        <w:rPr>
          <w:rFonts w:eastAsiaTheme="minorEastAsia"/>
        </w:rPr>
        <w:t xml:space="preserve"> does not equal 0.</w:t>
      </w:r>
    </w:p>
    <w:p w:rsidR="00EA6D2B" w:rsidRDefault="00EA6D2B" w:rsidP="00EA6D2B">
      <w:pPr>
        <w:pStyle w:val="NoSpacing"/>
      </w:pPr>
    </w:p>
    <w:p w:rsidR="00EA6D2B" w:rsidRPr="00342601" w:rsidRDefault="00EA6D2B" w:rsidP="00EA6D2B">
      <w:pPr>
        <w:pStyle w:val="NoSpacing"/>
        <w:numPr>
          <w:ilvl w:val="0"/>
          <w:numId w:val="2"/>
        </w:numPr>
      </w:pPr>
      <w:r w:rsidRPr="00342601">
        <w:t>Order the following numbers from smallest to largest:</w:t>
      </w:r>
    </w:p>
    <w:p w:rsidR="00EA6D2B" w:rsidRDefault="00EA6D2B" w:rsidP="00EA6D2B">
      <w:pPr>
        <w:pStyle w:val="NoSpacing"/>
      </w:pPr>
    </w:p>
    <w:p w:rsidR="00EA6D2B" w:rsidRDefault="008A74A7" w:rsidP="00F42FD9">
      <w:pPr>
        <w:pStyle w:val="NoSpacing"/>
        <w:ind w:left="720"/>
        <w:rPr>
          <w:rFonts w:eastAsiaTheme="minorEastAsia"/>
        </w:rPr>
      </w:pPr>
      <m:oMath>
        <m:f>
          <m:fPr>
            <m:ctrlPr>
              <w:rPr>
                <w:rFonts w:ascii="Cambria Math" w:hAnsi="Cambria Math"/>
                <w:i/>
              </w:rPr>
            </m:ctrlPr>
          </m:fPr>
          <m:num>
            <m:r>
              <w:rPr>
                <w:rFonts w:ascii="Cambria Math" w:hAnsi="Cambria Math"/>
              </w:rPr>
              <m:t>2</m:t>
            </m:r>
          </m:num>
          <m:den>
            <m:r>
              <w:rPr>
                <w:rFonts w:ascii="Cambria Math" w:hAnsi="Cambria Math"/>
              </w:rPr>
              <m:t>3</m:t>
            </m:r>
          </m:den>
        </m:f>
      </m:oMath>
      <w:r w:rsidR="00EA6D2B">
        <w:rPr>
          <w:rFonts w:eastAsiaTheme="minorEastAsia"/>
        </w:rPr>
        <w:t xml:space="preserve">,  </w:t>
      </w:r>
      <w:r w:rsidR="00F42FD9">
        <w:rPr>
          <w:rFonts w:eastAsiaTheme="minorEastAsia"/>
        </w:rPr>
        <w:t xml:space="preserve">   </w:t>
      </w:r>
      <w:r w:rsidR="00EA6D2B">
        <w:rPr>
          <w:rFonts w:eastAsiaTheme="minorEastAsia"/>
        </w:rPr>
        <w:t>-2.3,</w:t>
      </w:r>
      <w:r w:rsidR="00F42FD9">
        <w:rPr>
          <w:rFonts w:eastAsiaTheme="minorEastAsia"/>
        </w:rPr>
        <w:t xml:space="preserve">   </w:t>
      </w:r>
      <w:r w:rsidR="00EA6D2B">
        <w:rPr>
          <w:rFonts w:eastAsiaTheme="minorEastAsia"/>
        </w:rPr>
        <w:t xml:space="preserve">  -3</w:t>
      </w:r>
      <w:proofErr w:type="gramStart"/>
      <w:r w:rsidR="00EA6D2B">
        <w:rPr>
          <w:rFonts w:eastAsiaTheme="minorEastAsia"/>
        </w:rPr>
        <w:t>,</w:t>
      </w:r>
      <w:r w:rsidR="00F42FD9">
        <w:rPr>
          <w:rFonts w:eastAsiaTheme="minorEastAsia"/>
        </w:rPr>
        <w:t xml:space="preserve">  </w:t>
      </w:r>
      <w:r w:rsidR="00EA6D2B">
        <w:rPr>
          <w:rFonts w:eastAsiaTheme="minorEastAsia"/>
        </w:rPr>
        <w:t xml:space="preserve">  </w:t>
      </w: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w:r w:rsidR="00EA6D2B">
        <w:rPr>
          <w:rFonts w:eastAsiaTheme="minorEastAsia"/>
        </w:rPr>
        <w:t>,</w:t>
      </w:r>
      <w:proofErr w:type="gramEnd"/>
      <w:r w:rsidR="00F42FD9">
        <w:rPr>
          <w:rFonts w:eastAsiaTheme="minorEastAsia"/>
        </w:rPr>
        <w:t xml:space="preserve">   </w:t>
      </w:r>
      <w:r w:rsidR="00EA6D2B">
        <w:rPr>
          <w:rFonts w:eastAsiaTheme="minorEastAsia"/>
        </w:rPr>
        <w:t xml:space="preserve">  1.6,</w:t>
      </w:r>
      <w:r w:rsidR="00F42FD9">
        <w:rPr>
          <w:rFonts w:eastAsiaTheme="minorEastAsia"/>
        </w:rPr>
        <w:t xml:space="preserve">   </w:t>
      </w:r>
      <w:r w:rsidR="00EA6D2B">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sidR="00EA6D2B">
        <w:rPr>
          <w:rFonts w:eastAsiaTheme="minorEastAsia"/>
        </w:rPr>
        <w:t>,</w:t>
      </w:r>
      <w:r w:rsidR="00F42FD9">
        <w:rPr>
          <w:rFonts w:eastAsiaTheme="minorEastAsia"/>
        </w:rPr>
        <w:t xml:space="preserve">   </w:t>
      </w:r>
      <w:r w:rsidR="00EA6D2B">
        <w:rPr>
          <w:rFonts w:eastAsiaTheme="minorEastAsia"/>
        </w:rPr>
        <w:t xml:space="preserve">  -2.1,</w:t>
      </w:r>
      <w:r w:rsidR="00F42FD9">
        <w:rPr>
          <w:rFonts w:eastAsiaTheme="minorEastAsia"/>
        </w:rPr>
        <w:t xml:space="preserve">   </w:t>
      </w:r>
      <w:r w:rsidR="00EA6D2B">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sidR="00EA6D2B">
        <w:rPr>
          <w:rFonts w:eastAsiaTheme="minorEastAsia"/>
        </w:rPr>
        <w:t>,</w:t>
      </w:r>
      <w:r w:rsidR="00F42FD9">
        <w:rPr>
          <w:rFonts w:eastAsiaTheme="minorEastAsia"/>
        </w:rPr>
        <w:t xml:space="preserve">   </w:t>
      </w:r>
      <w:r w:rsidR="00AB4E7D">
        <w:rPr>
          <w:rFonts w:eastAsiaTheme="minorEastAsia"/>
        </w:rPr>
        <w:t xml:space="preserve">  -0.03</w:t>
      </w:r>
      <w:r w:rsidR="00F42FD9">
        <w:rPr>
          <w:rFonts w:eastAsiaTheme="minorEastAsia"/>
        </w:rPr>
        <w:t xml:space="preserve">,   </w:t>
      </w:r>
      <w:r w:rsidR="00EA6D2B">
        <w:rPr>
          <w:rFonts w:eastAsiaTheme="minorEastAsia"/>
        </w:rPr>
        <w:t xml:space="preserve">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EA6D2B">
        <w:rPr>
          <w:rFonts w:eastAsiaTheme="minorEastAsia"/>
        </w:rPr>
        <w:t xml:space="preserve">, </w:t>
      </w:r>
      <w:r w:rsidR="00F42FD9">
        <w:rPr>
          <w:rFonts w:eastAsiaTheme="minorEastAsia"/>
        </w:rPr>
        <w:t xml:space="preserve">   </w:t>
      </w:r>
      <w:r w:rsidR="00EA6D2B">
        <w:rPr>
          <w:rFonts w:eastAsiaTheme="minorEastAsia"/>
        </w:rPr>
        <w:t xml:space="preserve"> -1.3,</w:t>
      </w:r>
      <w:r w:rsidR="00F42FD9">
        <w:rPr>
          <w:rFonts w:eastAsiaTheme="minorEastAsia"/>
        </w:rPr>
        <w:t xml:space="preserve">   </w:t>
      </w:r>
      <w:r w:rsidR="00EA6D2B">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oMath>
      <w:r w:rsidR="00EA6D2B">
        <w:rPr>
          <w:rFonts w:eastAsiaTheme="minorEastAsia"/>
        </w:rPr>
        <w:t xml:space="preserve">, </w:t>
      </w:r>
      <w:r w:rsidR="00F42FD9">
        <w:rPr>
          <w:rFonts w:eastAsiaTheme="minorEastAsia"/>
        </w:rPr>
        <w:t xml:space="preserve">   </w:t>
      </w:r>
      <w:r w:rsidR="00EA6D2B">
        <w:rPr>
          <w:rFonts w:eastAsiaTheme="minorEastAsia"/>
        </w:rPr>
        <w:t xml:space="preserve"> 0</w:t>
      </w:r>
      <w:r w:rsidR="00AB4E7D">
        <w:rPr>
          <w:rFonts w:eastAsiaTheme="minorEastAsia"/>
        </w:rPr>
        <w:t xml:space="preserve">, </w:t>
      </w:r>
      <w:r w:rsidR="00F42FD9">
        <w:rPr>
          <w:rFonts w:eastAsiaTheme="minorEastAsia"/>
        </w:rPr>
        <w:t xml:space="preserve">   </w:t>
      </w:r>
      <w:r w:rsidR="00AB4E7D">
        <w:rPr>
          <w:rFonts w:eastAsiaTheme="minorEastAsia"/>
        </w:rPr>
        <w:t xml:space="preserve"> -0.1</w:t>
      </w:r>
    </w:p>
    <w:p w:rsidR="00EA6D2B" w:rsidRDefault="00EA6D2B" w:rsidP="00EA6D2B">
      <w:pPr>
        <w:pStyle w:val="NoSpacing"/>
        <w:rPr>
          <w:rFonts w:eastAsiaTheme="minorEastAsia"/>
        </w:rPr>
      </w:pPr>
    </w:p>
    <w:p w:rsidR="00EA6D2B" w:rsidRDefault="00EA6D2B" w:rsidP="00EA6D2B">
      <w:pPr>
        <w:pStyle w:val="NoSpacing"/>
        <w:rPr>
          <w:rFonts w:eastAsiaTheme="minorEastAsia"/>
        </w:rPr>
      </w:pPr>
    </w:p>
    <w:p w:rsidR="00EA6D2B" w:rsidRDefault="00EA6D2B" w:rsidP="00EA6D2B">
      <w:pPr>
        <w:pStyle w:val="NoSpacing"/>
        <w:rPr>
          <w:rFonts w:eastAsiaTheme="minorEastAsia"/>
        </w:rPr>
      </w:pPr>
    </w:p>
    <w:p w:rsidR="00342601" w:rsidRDefault="00342601" w:rsidP="00EA6D2B">
      <w:pPr>
        <w:pStyle w:val="NoSpacing"/>
        <w:rPr>
          <w:rFonts w:eastAsiaTheme="minorEastAsia"/>
        </w:rPr>
      </w:pPr>
    </w:p>
    <w:p w:rsidR="00342601" w:rsidRDefault="00342601" w:rsidP="00342601">
      <w:pPr>
        <w:pStyle w:val="NoSpacing"/>
        <w:numPr>
          <w:ilvl w:val="0"/>
          <w:numId w:val="2"/>
        </w:numPr>
        <w:rPr>
          <w:rFonts w:eastAsiaTheme="minorEastAsia"/>
        </w:rPr>
      </w:pPr>
      <w:r>
        <w:rPr>
          <w:rFonts w:eastAsiaTheme="minorEastAsia"/>
        </w:rPr>
        <w:t>In your list above, circle any numbers that are integers.</w:t>
      </w:r>
    </w:p>
    <w:p w:rsidR="00342601" w:rsidRDefault="00342601" w:rsidP="00342601">
      <w:pPr>
        <w:pStyle w:val="NoSpacing"/>
        <w:rPr>
          <w:rFonts w:eastAsiaTheme="minorEastAsia"/>
        </w:rPr>
      </w:pPr>
    </w:p>
    <w:p w:rsidR="00342601" w:rsidRDefault="00342601" w:rsidP="00342601">
      <w:pPr>
        <w:pStyle w:val="NoSpacing"/>
        <w:numPr>
          <w:ilvl w:val="0"/>
          <w:numId w:val="2"/>
        </w:numPr>
        <w:rPr>
          <w:rFonts w:eastAsiaTheme="minorEastAsia"/>
        </w:rPr>
      </w:pPr>
      <w:r>
        <w:rPr>
          <w:rFonts w:eastAsiaTheme="minorEastAsia"/>
        </w:rPr>
        <w:t>Suppose you have $56 in your checking account and write a check for $70.  Will your balance be positive or negative?</w:t>
      </w:r>
    </w:p>
    <w:p w:rsidR="00342601" w:rsidRDefault="00342601" w:rsidP="00342601">
      <w:pPr>
        <w:pStyle w:val="NoSpacing"/>
        <w:rPr>
          <w:rFonts w:eastAsiaTheme="minorEastAsia"/>
        </w:rPr>
      </w:pPr>
    </w:p>
    <w:p w:rsidR="00EC35AF" w:rsidRDefault="00342601" w:rsidP="00EC35AF">
      <w:pPr>
        <w:pStyle w:val="NoSpacing"/>
        <w:numPr>
          <w:ilvl w:val="0"/>
          <w:numId w:val="2"/>
        </w:numPr>
        <w:rPr>
          <w:rFonts w:eastAsiaTheme="minorEastAsia"/>
        </w:rPr>
      </w:pPr>
      <w:r w:rsidRPr="00EC35AF">
        <w:rPr>
          <w:rFonts w:eastAsiaTheme="minorEastAsia"/>
        </w:rPr>
        <w:t>Suppose you are overdrawn at the bank by $125 and you deposit $175.  Will your balance be positive or negative?</w:t>
      </w:r>
    </w:p>
    <w:p w:rsidR="00F42FD9" w:rsidRDefault="00F42FD9" w:rsidP="00F42FD9">
      <w:pPr>
        <w:pStyle w:val="NoSpacing"/>
        <w:rPr>
          <w:rFonts w:eastAsiaTheme="minorEastAsia"/>
        </w:rPr>
      </w:pPr>
    </w:p>
    <w:p w:rsidR="00F42FD9" w:rsidRDefault="00F42FD9" w:rsidP="00F42FD9">
      <w:pPr>
        <w:pStyle w:val="NoSpacing"/>
        <w:numPr>
          <w:ilvl w:val="0"/>
          <w:numId w:val="2"/>
        </w:numPr>
        <w:rPr>
          <w:rFonts w:eastAsiaTheme="minorEastAsia"/>
        </w:rPr>
      </w:pPr>
      <w:r>
        <w:rPr>
          <w:rFonts w:eastAsiaTheme="minorEastAsia"/>
        </w:rPr>
        <w:t xml:space="preserve">Suppose </w:t>
      </w:r>
      <w:r w:rsidRPr="00EC35AF">
        <w:rPr>
          <w:rFonts w:eastAsiaTheme="minorEastAsia"/>
        </w:rPr>
        <w:t>you are overdrawn at the bank by $34 and you write a check for $23.  Will your balance be positive or negative?</w:t>
      </w:r>
    </w:p>
    <w:p w:rsidR="00F42FD9" w:rsidRDefault="00F42FD9" w:rsidP="00F42FD9">
      <w:pPr>
        <w:pStyle w:val="NoSpacing"/>
        <w:ind w:left="720"/>
        <w:rPr>
          <w:rFonts w:eastAsiaTheme="minorEastAsia"/>
        </w:rPr>
      </w:pPr>
    </w:p>
    <w:p w:rsidR="00342601" w:rsidRDefault="008A74A7" w:rsidP="00342601">
      <w:pPr>
        <w:pStyle w:val="NoSpacing"/>
        <w:rPr>
          <w:rFonts w:eastAsiaTheme="minorEastAsia"/>
        </w:rPr>
      </w:pPr>
      <w:r>
        <w:rPr>
          <w:rFonts w:eastAsiaTheme="minorEastAsia"/>
          <w:noProof/>
          <w:lang w:eastAsia="zh-TW"/>
        </w:rPr>
        <w:lastRenderedPageBreak/>
        <w:pict>
          <v:shapetype id="_x0000_t202" coordsize="21600,21600" o:spt="202" path="m,l,21600r21600,l21600,xe">
            <v:stroke joinstyle="miter"/>
            <v:path gradientshapeok="t" o:connecttype="rect"/>
          </v:shapetype>
          <v:shape id="_x0000_s1027" type="#_x0000_t202" style="position:absolute;margin-left:5.6pt;margin-top:8.1pt;width:450.75pt;height:307.5pt;z-index:251658240;mso-width-relative:margin;mso-height-relative:margin">
            <v:textbox style="mso-next-textbox:#_x0000_s1027">
              <w:txbxContent>
                <w:p w:rsidR="00F42FD9" w:rsidRDefault="00F42FD9" w:rsidP="00F42FD9">
                  <w:pPr>
                    <w:pStyle w:val="NoSpacing"/>
                  </w:pPr>
                  <w:r>
                    <w:rPr>
                      <w:b/>
                    </w:rPr>
                    <w:t xml:space="preserve">Understanding </w:t>
                  </w:r>
                  <w:proofErr w:type="gramStart"/>
                  <w:r>
                    <w:rPr>
                      <w:b/>
                    </w:rPr>
                    <w:t>Notation</w:t>
                  </w:r>
                  <w:r>
                    <w:t xml:space="preserve">  --</w:t>
                  </w:r>
                  <w:proofErr w:type="gramEnd"/>
                  <w:r>
                    <w:t xml:space="preserve"> Can you define the word “light”?  Look at the two sentences below.  Does your definition work for both sentences?  </w:t>
                  </w:r>
                </w:p>
                <w:p w:rsidR="00F42FD9" w:rsidRPr="00AB4E7D" w:rsidRDefault="00F42FD9" w:rsidP="00F42FD9">
                  <w:pPr>
                    <w:pStyle w:val="NoSpacing"/>
                    <w:numPr>
                      <w:ilvl w:val="0"/>
                      <w:numId w:val="8"/>
                    </w:numPr>
                  </w:pPr>
                  <w:r>
                    <w:rPr>
                      <w:i/>
                    </w:rPr>
                    <w:t>Please turn on the light.</w:t>
                  </w:r>
                </w:p>
                <w:p w:rsidR="00F42FD9" w:rsidRDefault="00F42FD9" w:rsidP="00F42FD9">
                  <w:pPr>
                    <w:pStyle w:val="NoSpacing"/>
                    <w:numPr>
                      <w:ilvl w:val="0"/>
                      <w:numId w:val="8"/>
                    </w:numPr>
                  </w:pPr>
                  <w:r>
                    <w:rPr>
                      <w:i/>
                    </w:rPr>
                    <w:t>This bag seems very light.</w:t>
                  </w:r>
                </w:p>
                <w:p w:rsidR="00F42FD9" w:rsidRDefault="00F42FD9" w:rsidP="00F42FD9">
                  <w:pPr>
                    <w:pStyle w:val="NoSpacing"/>
                  </w:pPr>
                  <w:r>
                    <w:t>We are used to words having multiple meanings and using the context of the situation to determine which meaning is correct.  Words and notation in math have multiple meanings also and you have to determine which meaning applies based on the context.  You’ve already gotten used to one situation like this.  You probably recognize that in the expression “3 x 4”, the “x” refers to multiplication.  But in “3x + 4x”, the “x” is a variable.</w:t>
                  </w:r>
                </w:p>
                <w:p w:rsidR="00F42FD9" w:rsidRDefault="00F42FD9" w:rsidP="00F42FD9">
                  <w:pPr>
                    <w:pStyle w:val="NoSpacing"/>
                  </w:pPr>
                </w:p>
                <w:p w:rsidR="00F42FD9" w:rsidRDefault="00F42FD9" w:rsidP="00F42FD9">
                  <w:pPr>
                    <w:pStyle w:val="NoSpacing"/>
                  </w:pPr>
                  <w:proofErr w:type="gramStart"/>
                  <w:r>
                    <w:t>Parenthesis have</w:t>
                  </w:r>
                  <w:proofErr w:type="gramEnd"/>
                  <w:r>
                    <w:t xml:space="preserve"> many meaning in math.  There are other uses that you will learn about in later courses.  You should be aware of the following in this course.</w:t>
                  </w:r>
                </w:p>
                <w:p w:rsidR="00F42FD9" w:rsidRDefault="00F42FD9" w:rsidP="00F42FD9">
                  <w:pPr>
                    <w:pStyle w:val="NoSpacing"/>
                    <w:numPr>
                      <w:ilvl w:val="0"/>
                      <w:numId w:val="9"/>
                    </w:numPr>
                  </w:pPr>
                  <w:r>
                    <w:t>As a grouping symbol to indicate order of operations:  (3 +</w:t>
                  </w:r>
                  <w:proofErr w:type="gramStart"/>
                  <w:r>
                    <w:t>4 )</w:t>
                  </w:r>
                  <w:proofErr w:type="gramEnd"/>
                  <w:r>
                    <w:t xml:space="preserve"> – (2 +3).</w:t>
                  </w:r>
                </w:p>
                <w:p w:rsidR="00F42FD9" w:rsidRDefault="00F42FD9" w:rsidP="00F42FD9">
                  <w:pPr>
                    <w:pStyle w:val="NoSpacing"/>
                    <w:numPr>
                      <w:ilvl w:val="0"/>
                      <w:numId w:val="9"/>
                    </w:numPr>
                  </w:pPr>
                  <w:r>
                    <w:t xml:space="preserve">To indicate multiplication:  3(4) means </w:t>
                  </w:r>
                  <w:r w:rsidRPr="00EC35AF">
                    <w:rPr>
                      <w:i/>
                    </w:rPr>
                    <w:t>three times four</w:t>
                  </w:r>
                </w:p>
                <w:p w:rsidR="00F42FD9" w:rsidRDefault="00F42FD9" w:rsidP="00F42FD9">
                  <w:pPr>
                    <w:pStyle w:val="NoSpacing"/>
                    <w:numPr>
                      <w:ilvl w:val="0"/>
                      <w:numId w:val="9"/>
                    </w:numPr>
                  </w:pPr>
                  <w:r>
                    <w:t xml:space="preserve">As a way to separate other symbols to prevent confusion:  </w:t>
                  </w:r>
                  <w:r>
                    <w:rPr>
                      <w:i/>
                    </w:rPr>
                    <w:t xml:space="preserve">three plus </w:t>
                  </w:r>
                  <w:r w:rsidRPr="00EC35AF">
                    <w:rPr>
                      <w:i/>
                    </w:rPr>
                    <w:t xml:space="preserve"> negative 4</w:t>
                  </w:r>
                  <w:r>
                    <w:t xml:space="preserve"> is written 3 + -4, but having the plus and negative sign together can be confusing, so it is commonly written as 3 + (-4).  The parenthesis does not indicate an operation, </w:t>
                  </w:r>
                  <w:proofErr w:type="gramStart"/>
                  <w:r>
                    <w:t>it’s</w:t>
                  </w:r>
                  <w:proofErr w:type="gramEnd"/>
                  <w:r>
                    <w:t xml:space="preserve"> purpose is only to set off the -4.</w:t>
                  </w:r>
                </w:p>
                <w:p w:rsidR="00F42FD9" w:rsidRDefault="00F42FD9" w:rsidP="00F42FD9">
                  <w:pPr>
                    <w:pStyle w:val="NoSpacing"/>
                    <w:numPr>
                      <w:ilvl w:val="0"/>
                      <w:numId w:val="9"/>
                    </w:numPr>
                  </w:pPr>
                  <w:r>
                    <w:t xml:space="preserve">To indicate an ordered pair on </w:t>
                  </w:r>
                  <w:proofErr w:type="gramStart"/>
                  <w:r>
                    <w:t>a  two</w:t>
                  </w:r>
                  <w:proofErr w:type="gramEnd"/>
                  <w:r>
                    <w:t>-dimensional graph:  (2, 5) represents a point on a graph.  [Will be covered later in this course.]</w:t>
                  </w:r>
                </w:p>
              </w:txbxContent>
            </v:textbox>
            <w10:wrap type="topAndBottom"/>
          </v:shape>
        </w:pict>
      </w:r>
    </w:p>
    <w:p w:rsidR="00342601" w:rsidRDefault="00342601" w:rsidP="00342601">
      <w:pPr>
        <w:pStyle w:val="NoSpacing"/>
        <w:rPr>
          <w:rFonts w:eastAsiaTheme="minorEastAsia"/>
        </w:rPr>
      </w:pPr>
      <w:r>
        <w:rPr>
          <w:rFonts w:eastAsiaTheme="minorEastAsia"/>
          <w:b/>
        </w:rPr>
        <w:t>For the problems below, predict whether the sum will be positive or negative.  Circle the correct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tblGrid>
      <w:tr w:rsidR="00342601" w:rsidTr="00342601">
        <w:tc>
          <w:tcPr>
            <w:tcW w:w="3192" w:type="dxa"/>
            <w:gridSpan w:val="2"/>
          </w:tcPr>
          <w:p w:rsidR="00342601" w:rsidRDefault="00342601" w:rsidP="00342601">
            <w:pPr>
              <w:pStyle w:val="NoSpacing"/>
              <w:numPr>
                <w:ilvl w:val="0"/>
                <w:numId w:val="2"/>
              </w:numPr>
              <w:rPr>
                <w:rFonts w:eastAsiaTheme="minorEastAsia"/>
              </w:rPr>
            </w:pPr>
            <w:r>
              <w:rPr>
                <w:rFonts w:eastAsiaTheme="minorEastAsia"/>
              </w:rPr>
              <w:t>448 + (-315)</w:t>
            </w:r>
          </w:p>
        </w:tc>
        <w:tc>
          <w:tcPr>
            <w:tcW w:w="3192" w:type="dxa"/>
            <w:gridSpan w:val="2"/>
          </w:tcPr>
          <w:p w:rsidR="00342601" w:rsidRDefault="00342601" w:rsidP="00342601">
            <w:pPr>
              <w:pStyle w:val="NoSpacing"/>
              <w:numPr>
                <w:ilvl w:val="0"/>
                <w:numId w:val="2"/>
              </w:numPr>
              <w:rPr>
                <w:rFonts w:eastAsiaTheme="minorEastAsia"/>
              </w:rPr>
            </w:pPr>
            <w:r>
              <w:rPr>
                <w:rFonts w:eastAsiaTheme="minorEastAsia"/>
              </w:rPr>
              <w:t>-1.62 + (-1.20)</w:t>
            </w:r>
          </w:p>
        </w:tc>
        <w:tc>
          <w:tcPr>
            <w:tcW w:w="3192" w:type="dxa"/>
            <w:gridSpan w:val="2"/>
          </w:tcPr>
          <w:p w:rsidR="00342601" w:rsidRPr="00342601" w:rsidRDefault="00342601" w:rsidP="00342601">
            <w:pPr>
              <w:pStyle w:val="NoSpacing"/>
              <w:numPr>
                <w:ilvl w:val="0"/>
                <w:numId w:val="2"/>
              </w:numPr>
              <w:rPr>
                <w:rFonts w:eastAsiaTheme="minorEastAsia"/>
              </w:rPr>
            </w:pPr>
            <w:r>
              <w:rPr>
                <w:rFonts w:eastAsiaTheme="minorEastAsia"/>
              </w:rPr>
              <w:t>-967 + 340</w:t>
            </w:r>
          </w:p>
        </w:tc>
      </w:tr>
      <w:tr w:rsidR="00342601" w:rsidTr="00342601">
        <w:tc>
          <w:tcPr>
            <w:tcW w:w="1596" w:type="dxa"/>
          </w:tcPr>
          <w:p w:rsidR="00342601" w:rsidRDefault="00342601" w:rsidP="00342601">
            <w:pPr>
              <w:pStyle w:val="NoSpacing"/>
              <w:jc w:val="center"/>
              <w:rPr>
                <w:rFonts w:eastAsiaTheme="minorEastAsia"/>
              </w:rPr>
            </w:pPr>
            <w:r>
              <w:rPr>
                <w:rFonts w:eastAsiaTheme="minorEastAsia"/>
              </w:rPr>
              <w:t>Positive</w:t>
            </w:r>
          </w:p>
        </w:tc>
        <w:tc>
          <w:tcPr>
            <w:tcW w:w="1596" w:type="dxa"/>
          </w:tcPr>
          <w:p w:rsidR="00342601" w:rsidRDefault="00342601" w:rsidP="00342601">
            <w:pPr>
              <w:pStyle w:val="NoSpacing"/>
              <w:jc w:val="center"/>
              <w:rPr>
                <w:rFonts w:eastAsiaTheme="minorEastAsia"/>
              </w:rPr>
            </w:pPr>
            <w:r>
              <w:rPr>
                <w:rFonts w:eastAsiaTheme="minorEastAsia"/>
              </w:rPr>
              <w:t>Negative</w:t>
            </w:r>
          </w:p>
        </w:tc>
        <w:tc>
          <w:tcPr>
            <w:tcW w:w="1596" w:type="dxa"/>
          </w:tcPr>
          <w:p w:rsidR="00342601" w:rsidRDefault="00342601" w:rsidP="00373739">
            <w:pPr>
              <w:pStyle w:val="NoSpacing"/>
              <w:jc w:val="center"/>
              <w:rPr>
                <w:rFonts w:eastAsiaTheme="minorEastAsia"/>
              </w:rPr>
            </w:pPr>
            <w:r>
              <w:rPr>
                <w:rFonts w:eastAsiaTheme="minorEastAsia"/>
              </w:rPr>
              <w:t>Positive</w:t>
            </w:r>
          </w:p>
        </w:tc>
        <w:tc>
          <w:tcPr>
            <w:tcW w:w="1596" w:type="dxa"/>
          </w:tcPr>
          <w:p w:rsidR="00342601" w:rsidRDefault="00342601" w:rsidP="00373739">
            <w:pPr>
              <w:pStyle w:val="NoSpacing"/>
              <w:jc w:val="center"/>
              <w:rPr>
                <w:rFonts w:eastAsiaTheme="minorEastAsia"/>
              </w:rPr>
            </w:pPr>
            <w:r>
              <w:rPr>
                <w:rFonts w:eastAsiaTheme="minorEastAsia"/>
              </w:rPr>
              <w:t>Negative</w:t>
            </w:r>
          </w:p>
        </w:tc>
        <w:tc>
          <w:tcPr>
            <w:tcW w:w="1596" w:type="dxa"/>
          </w:tcPr>
          <w:p w:rsidR="00342601" w:rsidRDefault="00342601" w:rsidP="00373739">
            <w:pPr>
              <w:pStyle w:val="NoSpacing"/>
              <w:jc w:val="center"/>
              <w:rPr>
                <w:rFonts w:eastAsiaTheme="minorEastAsia"/>
              </w:rPr>
            </w:pPr>
            <w:r>
              <w:rPr>
                <w:rFonts w:eastAsiaTheme="minorEastAsia"/>
              </w:rPr>
              <w:t>Positive</w:t>
            </w:r>
          </w:p>
        </w:tc>
        <w:tc>
          <w:tcPr>
            <w:tcW w:w="1596" w:type="dxa"/>
          </w:tcPr>
          <w:p w:rsidR="00342601" w:rsidRDefault="00342601" w:rsidP="00373739">
            <w:pPr>
              <w:pStyle w:val="NoSpacing"/>
              <w:jc w:val="center"/>
              <w:rPr>
                <w:rFonts w:eastAsiaTheme="minorEastAsia"/>
              </w:rPr>
            </w:pPr>
            <w:r>
              <w:rPr>
                <w:rFonts w:eastAsiaTheme="minorEastAsia"/>
              </w:rPr>
              <w:t>Negative</w:t>
            </w:r>
          </w:p>
        </w:tc>
      </w:tr>
      <w:tr w:rsidR="00342601" w:rsidTr="00342601">
        <w:tc>
          <w:tcPr>
            <w:tcW w:w="3192" w:type="dxa"/>
            <w:gridSpan w:val="2"/>
          </w:tcPr>
          <w:p w:rsidR="00342601" w:rsidRDefault="00342601" w:rsidP="00AB4E7D">
            <w:pPr>
              <w:pStyle w:val="NoSpacing"/>
              <w:ind w:left="720"/>
              <w:rPr>
                <w:rFonts w:eastAsiaTheme="minorEastAsia"/>
              </w:rPr>
            </w:pPr>
          </w:p>
        </w:tc>
        <w:tc>
          <w:tcPr>
            <w:tcW w:w="3192" w:type="dxa"/>
            <w:gridSpan w:val="2"/>
          </w:tcPr>
          <w:p w:rsidR="00342601" w:rsidRDefault="00342601" w:rsidP="00342601">
            <w:pPr>
              <w:pStyle w:val="NoSpacing"/>
              <w:ind w:left="720"/>
              <w:rPr>
                <w:rFonts w:eastAsiaTheme="minorEastAsia"/>
              </w:rPr>
            </w:pPr>
          </w:p>
        </w:tc>
        <w:tc>
          <w:tcPr>
            <w:tcW w:w="3192" w:type="dxa"/>
            <w:gridSpan w:val="2"/>
          </w:tcPr>
          <w:p w:rsidR="00342601" w:rsidRDefault="00342601" w:rsidP="00342601">
            <w:pPr>
              <w:pStyle w:val="NoSpacing"/>
              <w:ind w:left="720"/>
              <w:rPr>
                <w:rFonts w:eastAsiaTheme="minorEastAsia"/>
              </w:rPr>
            </w:pPr>
          </w:p>
        </w:tc>
      </w:tr>
      <w:tr w:rsidR="00AB4E7D" w:rsidTr="00342601">
        <w:tc>
          <w:tcPr>
            <w:tcW w:w="3192" w:type="dxa"/>
            <w:gridSpan w:val="2"/>
          </w:tcPr>
          <w:p w:rsidR="00AB4E7D" w:rsidRDefault="00AB4E7D" w:rsidP="00342601">
            <w:pPr>
              <w:pStyle w:val="NoSpacing"/>
              <w:numPr>
                <w:ilvl w:val="0"/>
                <w:numId w:val="2"/>
              </w:numPr>
              <w:rPr>
                <w:rFonts w:eastAsiaTheme="minorEastAsia"/>
              </w:rPr>
            </w:pPr>
            <w:r>
              <w:rPr>
                <w:rFonts w:eastAsiaTheme="minorEastAsia"/>
              </w:rPr>
              <w:t xml:space="preserve">-12,503 + 2,578 </w:t>
            </w:r>
          </w:p>
        </w:tc>
        <w:tc>
          <w:tcPr>
            <w:tcW w:w="3192" w:type="dxa"/>
            <w:gridSpan w:val="2"/>
          </w:tcPr>
          <w:p w:rsidR="00AB4E7D" w:rsidRDefault="00AB4E7D" w:rsidP="00AB4E7D">
            <w:pPr>
              <w:pStyle w:val="NoSpacing"/>
              <w:numPr>
                <w:ilvl w:val="0"/>
                <w:numId w:val="2"/>
              </w:numPr>
              <w:rPr>
                <w:rFonts w:eastAsiaTheme="minorEastAsia"/>
              </w:rPr>
            </w:pPr>
            <w:r>
              <w:rPr>
                <w:rFonts w:eastAsiaTheme="minorEastAsia"/>
              </w:rPr>
              <w:t>36 + (-784)</w:t>
            </w:r>
          </w:p>
        </w:tc>
        <w:tc>
          <w:tcPr>
            <w:tcW w:w="3192" w:type="dxa"/>
            <w:gridSpan w:val="2"/>
          </w:tcPr>
          <w:p w:rsidR="00AB4E7D" w:rsidRDefault="00AB4E7D" w:rsidP="00AB4E7D">
            <w:pPr>
              <w:pStyle w:val="NoSpacing"/>
              <w:numPr>
                <w:ilvl w:val="0"/>
                <w:numId w:val="2"/>
              </w:numPr>
              <w:rPr>
                <w:rFonts w:eastAsiaTheme="minorEastAsia"/>
              </w:rPr>
            </w:pPr>
            <w:r>
              <w:rPr>
                <w:rFonts w:eastAsiaTheme="minorEastAsia"/>
              </w:rPr>
              <w:t>-0.93 + 0.0034</w:t>
            </w:r>
          </w:p>
        </w:tc>
      </w:tr>
      <w:tr w:rsidR="00AB4E7D" w:rsidTr="00373739">
        <w:tc>
          <w:tcPr>
            <w:tcW w:w="1596" w:type="dxa"/>
          </w:tcPr>
          <w:p w:rsidR="00AB4E7D" w:rsidRDefault="00AB4E7D" w:rsidP="00373739">
            <w:pPr>
              <w:pStyle w:val="NoSpacing"/>
              <w:jc w:val="center"/>
              <w:rPr>
                <w:rFonts w:eastAsiaTheme="minorEastAsia"/>
              </w:rPr>
            </w:pPr>
            <w:r>
              <w:rPr>
                <w:rFonts w:eastAsiaTheme="minorEastAsia"/>
              </w:rPr>
              <w:t>Positive</w:t>
            </w:r>
          </w:p>
        </w:tc>
        <w:tc>
          <w:tcPr>
            <w:tcW w:w="1596" w:type="dxa"/>
          </w:tcPr>
          <w:p w:rsidR="00AB4E7D" w:rsidRDefault="00AB4E7D" w:rsidP="00373739">
            <w:pPr>
              <w:pStyle w:val="NoSpacing"/>
              <w:jc w:val="center"/>
              <w:rPr>
                <w:rFonts w:eastAsiaTheme="minorEastAsia"/>
              </w:rPr>
            </w:pPr>
            <w:r>
              <w:rPr>
                <w:rFonts w:eastAsiaTheme="minorEastAsia"/>
              </w:rPr>
              <w:t>Negative</w:t>
            </w:r>
          </w:p>
        </w:tc>
        <w:tc>
          <w:tcPr>
            <w:tcW w:w="1596" w:type="dxa"/>
          </w:tcPr>
          <w:p w:rsidR="00AB4E7D" w:rsidRDefault="00AB4E7D" w:rsidP="00373739">
            <w:pPr>
              <w:pStyle w:val="NoSpacing"/>
              <w:jc w:val="center"/>
              <w:rPr>
                <w:rFonts w:eastAsiaTheme="minorEastAsia"/>
              </w:rPr>
            </w:pPr>
            <w:r>
              <w:rPr>
                <w:rFonts w:eastAsiaTheme="minorEastAsia"/>
              </w:rPr>
              <w:t>Positive</w:t>
            </w:r>
          </w:p>
        </w:tc>
        <w:tc>
          <w:tcPr>
            <w:tcW w:w="1596" w:type="dxa"/>
          </w:tcPr>
          <w:p w:rsidR="00AB4E7D" w:rsidRDefault="00AB4E7D" w:rsidP="00373739">
            <w:pPr>
              <w:pStyle w:val="NoSpacing"/>
              <w:jc w:val="center"/>
              <w:rPr>
                <w:rFonts w:eastAsiaTheme="minorEastAsia"/>
              </w:rPr>
            </w:pPr>
            <w:r>
              <w:rPr>
                <w:rFonts w:eastAsiaTheme="minorEastAsia"/>
              </w:rPr>
              <w:t>Negative</w:t>
            </w:r>
          </w:p>
        </w:tc>
        <w:tc>
          <w:tcPr>
            <w:tcW w:w="1596" w:type="dxa"/>
          </w:tcPr>
          <w:p w:rsidR="00AB4E7D" w:rsidRDefault="00AB4E7D" w:rsidP="00373739">
            <w:pPr>
              <w:pStyle w:val="NoSpacing"/>
              <w:jc w:val="center"/>
              <w:rPr>
                <w:rFonts w:eastAsiaTheme="minorEastAsia"/>
              </w:rPr>
            </w:pPr>
            <w:r>
              <w:rPr>
                <w:rFonts w:eastAsiaTheme="minorEastAsia"/>
              </w:rPr>
              <w:t>Positive</w:t>
            </w:r>
          </w:p>
        </w:tc>
        <w:tc>
          <w:tcPr>
            <w:tcW w:w="1596" w:type="dxa"/>
          </w:tcPr>
          <w:p w:rsidR="00AB4E7D" w:rsidRDefault="00AB4E7D" w:rsidP="00373739">
            <w:pPr>
              <w:pStyle w:val="NoSpacing"/>
              <w:jc w:val="center"/>
              <w:rPr>
                <w:rFonts w:eastAsiaTheme="minorEastAsia"/>
              </w:rPr>
            </w:pPr>
            <w:r>
              <w:rPr>
                <w:rFonts w:eastAsiaTheme="minorEastAsia"/>
              </w:rPr>
              <w:t>Negative</w:t>
            </w:r>
          </w:p>
        </w:tc>
      </w:tr>
      <w:tr w:rsidR="00AB4E7D" w:rsidTr="00342601">
        <w:tc>
          <w:tcPr>
            <w:tcW w:w="3192" w:type="dxa"/>
            <w:gridSpan w:val="2"/>
          </w:tcPr>
          <w:p w:rsidR="003A50AD" w:rsidRDefault="003A50AD" w:rsidP="00AB4E7D">
            <w:pPr>
              <w:pStyle w:val="NoSpacing"/>
              <w:rPr>
                <w:rFonts w:eastAsiaTheme="minorEastAsia"/>
              </w:rPr>
            </w:pPr>
          </w:p>
        </w:tc>
        <w:tc>
          <w:tcPr>
            <w:tcW w:w="3192" w:type="dxa"/>
            <w:gridSpan w:val="2"/>
          </w:tcPr>
          <w:p w:rsidR="00AB4E7D" w:rsidRDefault="00AB4E7D" w:rsidP="00AB4E7D">
            <w:pPr>
              <w:pStyle w:val="NoSpacing"/>
              <w:ind w:left="720"/>
              <w:rPr>
                <w:rFonts w:eastAsiaTheme="minorEastAsia"/>
              </w:rPr>
            </w:pPr>
          </w:p>
        </w:tc>
        <w:tc>
          <w:tcPr>
            <w:tcW w:w="3192" w:type="dxa"/>
            <w:gridSpan w:val="2"/>
          </w:tcPr>
          <w:p w:rsidR="00AB4E7D" w:rsidRDefault="00AB4E7D" w:rsidP="00AB4E7D">
            <w:pPr>
              <w:pStyle w:val="NoSpacing"/>
              <w:ind w:left="720"/>
              <w:rPr>
                <w:rFonts w:eastAsiaTheme="minorEastAsia"/>
              </w:rPr>
            </w:pPr>
          </w:p>
        </w:tc>
      </w:tr>
    </w:tbl>
    <w:p w:rsidR="00AB4E7D" w:rsidRPr="00EC35AF" w:rsidRDefault="00AB4E7D" w:rsidP="00EA6D2B">
      <w:pPr>
        <w:pStyle w:val="NoSpacing"/>
        <w:rPr>
          <w:rFonts w:eastAsiaTheme="minorEastAsia"/>
          <w:b/>
        </w:rPr>
      </w:pPr>
      <w:r w:rsidRPr="00EC35AF">
        <w:rPr>
          <w:rFonts w:eastAsiaTheme="minorEastAsia"/>
          <w:b/>
        </w:rPr>
        <w:t>Find each sum without a calculator!</w:t>
      </w:r>
    </w:p>
    <w:tbl>
      <w:tblPr>
        <w:tblStyle w:val="TableGrid"/>
        <w:tblW w:w="0" w:type="auto"/>
        <w:tblLook w:val="04A0"/>
      </w:tblPr>
      <w:tblGrid>
        <w:gridCol w:w="3192"/>
        <w:gridCol w:w="3192"/>
        <w:gridCol w:w="3192"/>
      </w:tblGrid>
      <w:tr w:rsidR="00AB4E7D" w:rsidTr="00AB4E7D">
        <w:tc>
          <w:tcPr>
            <w:tcW w:w="3192" w:type="dxa"/>
          </w:tcPr>
          <w:p w:rsidR="00AB4E7D" w:rsidRDefault="00AB4E7D" w:rsidP="00AB4E7D">
            <w:pPr>
              <w:pStyle w:val="NoSpacing"/>
              <w:numPr>
                <w:ilvl w:val="0"/>
                <w:numId w:val="2"/>
              </w:numPr>
              <w:rPr>
                <w:rFonts w:eastAsiaTheme="minorEastAsia"/>
              </w:rPr>
            </w:pPr>
            <m:oMath>
              <m:r>
                <w:rPr>
                  <w:rFonts w:ascii="Cambria Math" w:hAnsi="Cambria Math"/>
                </w:rPr>
                <m:t>19+(-5)</m:t>
              </m:r>
              <m:r>
                <m:rPr>
                  <m:sty m:val="p"/>
                </m:rPr>
                <w:rPr>
                  <w:rFonts w:ascii="Cambria Math" w:hAnsi="Cambria Math"/>
                </w:rPr>
                <w:br/>
              </m:r>
            </m:oMath>
          </w:p>
        </w:tc>
        <w:tc>
          <w:tcPr>
            <w:tcW w:w="3192" w:type="dxa"/>
          </w:tcPr>
          <w:p w:rsidR="00AB4E7D" w:rsidRDefault="00AB4E7D" w:rsidP="00AB4E7D">
            <w:pPr>
              <w:pStyle w:val="NoSpacing"/>
              <w:numPr>
                <w:ilvl w:val="0"/>
                <w:numId w:val="2"/>
              </w:numPr>
              <w:rPr>
                <w:rFonts w:eastAsiaTheme="minorEastAsia"/>
              </w:rPr>
            </w:pPr>
            <w:r>
              <w:rPr>
                <w:rFonts w:eastAsiaTheme="minorEastAsia"/>
              </w:rPr>
              <w:t>-32 + 22</w:t>
            </w:r>
          </w:p>
        </w:tc>
        <w:tc>
          <w:tcPr>
            <w:tcW w:w="3192" w:type="dxa"/>
          </w:tcPr>
          <w:p w:rsidR="00AB4E7D" w:rsidRDefault="00AB4E7D" w:rsidP="00AB4E7D">
            <w:pPr>
              <w:pStyle w:val="NoSpacing"/>
              <w:numPr>
                <w:ilvl w:val="0"/>
                <w:numId w:val="2"/>
              </w:numPr>
              <w:rPr>
                <w:rFonts w:eastAsiaTheme="minorEastAsia"/>
              </w:rPr>
            </w:pPr>
            <w:r>
              <w:rPr>
                <w:rFonts w:eastAsiaTheme="minorEastAsia"/>
              </w:rPr>
              <w:t>-14 + (-20)</w:t>
            </w:r>
          </w:p>
          <w:p w:rsidR="00F42FD9" w:rsidRDefault="00F42FD9" w:rsidP="00F42FD9">
            <w:pPr>
              <w:pStyle w:val="NoSpacing"/>
              <w:rPr>
                <w:rFonts w:eastAsiaTheme="minorEastAsia"/>
              </w:rPr>
            </w:pPr>
          </w:p>
          <w:p w:rsidR="00F42FD9" w:rsidRDefault="00F42FD9" w:rsidP="00F42FD9">
            <w:pPr>
              <w:pStyle w:val="NoSpacing"/>
              <w:rPr>
                <w:rFonts w:eastAsiaTheme="minorEastAsia"/>
              </w:rPr>
            </w:pPr>
          </w:p>
        </w:tc>
      </w:tr>
      <w:tr w:rsidR="00F42FD9" w:rsidTr="00AB4E7D">
        <w:tc>
          <w:tcPr>
            <w:tcW w:w="3192" w:type="dxa"/>
          </w:tcPr>
          <w:p w:rsidR="00F42FD9" w:rsidRDefault="00F42FD9" w:rsidP="00AB4E7D">
            <w:pPr>
              <w:pStyle w:val="NoSpacing"/>
              <w:numPr>
                <w:ilvl w:val="0"/>
                <w:numId w:val="2"/>
              </w:numPr>
              <w:rPr>
                <w:rFonts w:eastAsia="Times New Roman" w:cs="Times New Roman"/>
              </w:rPr>
            </w:pPr>
            <w:r>
              <w:rPr>
                <w:rFonts w:eastAsia="Times New Roman" w:cs="Times New Roman"/>
              </w:rPr>
              <w:t>-3 + 6 + (-8)</w:t>
            </w:r>
          </w:p>
        </w:tc>
        <w:tc>
          <w:tcPr>
            <w:tcW w:w="3192" w:type="dxa"/>
          </w:tcPr>
          <w:p w:rsidR="00F42FD9" w:rsidRDefault="00F42FD9" w:rsidP="00AB4E7D">
            <w:pPr>
              <w:pStyle w:val="NoSpacing"/>
              <w:numPr>
                <w:ilvl w:val="0"/>
                <w:numId w:val="2"/>
              </w:numPr>
              <w:rPr>
                <w:rFonts w:eastAsiaTheme="minorEastAsia"/>
              </w:rPr>
            </w:pPr>
            <w:r>
              <w:rPr>
                <w:rFonts w:eastAsiaTheme="minorEastAsia"/>
              </w:rPr>
              <w:t>10 + (-13) + 6</w:t>
            </w:r>
          </w:p>
        </w:tc>
        <w:tc>
          <w:tcPr>
            <w:tcW w:w="3192" w:type="dxa"/>
          </w:tcPr>
          <w:p w:rsidR="00F42FD9" w:rsidRDefault="00F42FD9" w:rsidP="00AB4E7D">
            <w:pPr>
              <w:pStyle w:val="NoSpacing"/>
              <w:numPr>
                <w:ilvl w:val="0"/>
                <w:numId w:val="2"/>
              </w:numPr>
              <w:rPr>
                <w:rFonts w:eastAsiaTheme="minorEastAsia"/>
              </w:rPr>
            </w:pPr>
            <w:r>
              <w:rPr>
                <w:rFonts w:eastAsiaTheme="minorEastAsia"/>
              </w:rPr>
              <w:t>-3 + (-6) + (-2)</w:t>
            </w:r>
          </w:p>
          <w:p w:rsidR="00F42FD9" w:rsidRDefault="00F42FD9" w:rsidP="00F42FD9">
            <w:pPr>
              <w:pStyle w:val="NoSpacing"/>
              <w:rPr>
                <w:rFonts w:eastAsiaTheme="minorEastAsia"/>
              </w:rPr>
            </w:pPr>
          </w:p>
          <w:p w:rsidR="00F42FD9" w:rsidRDefault="00F42FD9" w:rsidP="00F42FD9">
            <w:pPr>
              <w:pStyle w:val="NoSpacing"/>
              <w:rPr>
                <w:rFonts w:eastAsiaTheme="minorEastAsia"/>
              </w:rPr>
            </w:pPr>
          </w:p>
        </w:tc>
      </w:tr>
      <w:tr w:rsidR="001E5C5A" w:rsidTr="00AB4E7D">
        <w:tc>
          <w:tcPr>
            <w:tcW w:w="3192" w:type="dxa"/>
          </w:tcPr>
          <w:p w:rsidR="001E5C5A" w:rsidRDefault="001E5C5A" w:rsidP="00AB4E7D">
            <w:pPr>
              <w:pStyle w:val="NoSpacing"/>
              <w:numPr>
                <w:ilvl w:val="0"/>
                <w:numId w:val="2"/>
              </w:numPr>
              <w:rPr>
                <w:rFonts w:eastAsia="Times New Roman" w:cs="Times New Roman"/>
              </w:rPr>
            </w:pPr>
            <w:r>
              <w:rPr>
                <w:rFonts w:eastAsia="Times New Roman" w:cs="Times New Roman"/>
              </w:rPr>
              <w:t>4 + (-4)</w:t>
            </w:r>
          </w:p>
        </w:tc>
        <w:tc>
          <w:tcPr>
            <w:tcW w:w="3192" w:type="dxa"/>
          </w:tcPr>
          <w:p w:rsidR="001E5C5A" w:rsidRDefault="001E5C5A" w:rsidP="00AB4E7D">
            <w:pPr>
              <w:pStyle w:val="NoSpacing"/>
              <w:numPr>
                <w:ilvl w:val="0"/>
                <w:numId w:val="2"/>
              </w:numPr>
              <w:rPr>
                <w:rFonts w:eastAsiaTheme="minorEastAsia"/>
              </w:rPr>
            </w:pPr>
            <w:r>
              <w:rPr>
                <w:rFonts w:eastAsiaTheme="minorEastAsia"/>
              </w:rPr>
              <w:t>-15 + 15</w:t>
            </w:r>
          </w:p>
        </w:tc>
        <w:tc>
          <w:tcPr>
            <w:tcW w:w="3192" w:type="dxa"/>
          </w:tcPr>
          <w:p w:rsidR="001E5C5A" w:rsidRDefault="001E5C5A" w:rsidP="00AB4E7D">
            <w:pPr>
              <w:pStyle w:val="NoSpacing"/>
              <w:numPr>
                <w:ilvl w:val="0"/>
                <w:numId w:val="2"/>
              </w:numPr>
              <w:rPr>
                <w:rFonts w:eastAsiaTheme="minorEastAsia"/>
              </w:rPr>
            </w:pPr>
            <w:r>
              <w:rPr>
                <w:rFonts w:eastAsiaTheme="minorEastAsia"/>
              </w:rPr>
              <w:t>-345 + 345</w:t>
            </w:r>
          </w:p>
          <w:p w:rsidR="001E5C5A" w:rsidRDefault="001E5C5A" w:rsidP="001E5C5A">
            <w:pPr>
              <w:pStyle w:val="NoSpacing"/>
              <w:ind w:left="720"/>
              <w:rPr>
                <w:rFonts w:eastAsiaTheme="minorEastAsia"/>
              </w:rPr>
            </w:pPr>
          </w:p>
          <w:p w:rsidR="001E5C5A" w:rsidRDefault="001E5C5A" w:rsidP="001E5C5A">
            <w:pPr>
              <w:pStyle w:val="NoSpacing"/>
              <w:ind w:left="720"/>
              <w:rPr>
                <w:rFonts w:eastAsiaTheme="minorEastAsia"/>
              </w:rPr>
            </w:pPr>
          </w:p>
        </w:tc>
      </w:tr>
    </w:tbl>
    <w:p w:rsidR="00AB4E7D" w:rsidRDefault="00AB4E7D" w:rsidP="00EA6D2B">
      <w:pPr>
        <w:pStyle w:val="NoSpacing"/>
        <w:rPr>
          <w:rFonts w:eastAsiaTheme="minorEastAsia"/>
        </w:rPr>
      </w:pPr>
    </w:p>
    <w:p w:rsidR="001E5C5A" w:rsidRDefault="001E5C5A" w:rsidP="003A50AD">
      <w:pPr>
        <w:pStyle w:val="NoSpacing"/>
        <w:rPr>
          <w:rFonts w:eastAsiaTheme="minorEastAsia"/>
        </w:rPr>
      </w:pPr>
      <w:r>
        <w:rPr>
          <w:rFonts w:eastAsiaTheme="minorEastAsia"/>
          <w:b/>
        </w:rPr>
        <w:t>Give the opposite of each number.</w:t>
      </w:r>
    </w:p>
    <w:tbl>
      <w:tblPr>
        <w:tblStyle w:val="TableGrid"/>
        <w:tblW w:w="0" w:type="auto"/>
        <w:tblLook w:val="04A0"/>
      </w:tblPr>
      <w:tblGrid>
        <w:gridCol w:w="2570"/>
        <w:gridCol w:w="2570"/>
        <w:gridCol w:w="2218"/>
        <w:gridCol w:w="2218"/>
      </w:tblGrid>
      <w:tr w:rsidR="001E5C5A" w:rsidTr="001E5C5A">
        <w:tc>
          <w:tcPr>
            <w:tcW w:w="2570" w:type="dxa"/>
          </w:tcPr>
          <w:p w:rsidR="001E5C5A" w:rsidRDefault="001E5C5A" w:rsidP="001E5C5A">
            <w:pPr>
              <w:pStyle w:val="NoSpacing"/>
              <w:numPr>
                <w:ilvl w:val="0"/>
                <w:numId w:val="2"/>
              </w:numPr>
              <w:rPr>
                <w:rFonts w:eastAsia="Times New Roman" w:cs="Times New Roman"/>
              </w:rPr>
            </w:pPr>
            <w:r>
              <w:rPr>
                <w:rFonts w:eastAsia="Times New Roman" w:cs="Times New Roman"/>
              </w:rPr>
              <w:t xml:space="preserve">  -5</w:t>
            </w:r>
          </w:p>
        </w:tc>
        <w:tc>
          <w:tcPr>
            <w:tcW w:w="2570" w:type="dxa"/>
          </w:tcPr>
          <w:p w:rsidR="001E5C5A" w:rsidRDefault="001E5C5A" w:rsidP="001E5C5A">
            <w:pPr>
              <w:pStyle w:val="NoSpacing"/>
              <w:numPr>
                <w:ilvl w:val="0"/>
                <w:numId w:val="2"/>
              </w:numPr>
              <w:rPr>
                <w:rFonts w:eastAsia="Times New Roman" w:cs="Times New Roman"/>
              </w:rPr>
            </w:pPr>
            <w:r>
              <w:rPr>
                <w:rFonts w:eastAsia="Times New Roman" w:cs="Times New Roman"/>
              </w:rPr>
              <w:t xml:space="preserve">  13</w:t>
            </w:r>
          </w:p>
        </w:tc>
        <w:tc>
          <w:tcPr>
            <w:tcW w:w="2218" w:type="dxa"/>
          </w:tcPr>
          <w:p w:rsidR="001E5C5A" w:rsidRDefault="001E5C5A" w:rsidP="001E5C5A">
            <w:pPr>
              <w:pStyle w:val="NoSpacing"/>
              <w:numPr>
                <w:ilvl w:val="0"/>
                <w:numId w:val="2"/>
              </w:numPr>
              <w:rPr>
                <w:rFonts w:eastAsia="Times New Roman" w:cs="Times New Roman"/>
              </w:rPr>
            </w:pPr>
            <w:r>
              <w:rPr>
                <w:rFonts w:eastAsia="Times New Roman" w:cs="Times New Roman"/>
              </w:rPr>
              <w:t xml:space="preserve">  x</w:t>
            </w:r>
          </w:p>
        </w:tc>
        <w:tc>
          <w:tcPr>
            <w:tcW w:w="2218" w:type="dxa"/>
          </w:tcPr>
          <w:p w:rsidR="001E5C5A" w:rsidRDefault="001E5C5A" w:rsidP="00466E83">
            <w:pPr>
              <w:pStyle w:val="NoSpacing"/>
              <w:numPr>
                <w:ilvl w:val="0"/>
                <w:numId w:val="2"/>
              </w:numPr>
              <w:rPr>
                <w:rFonts w:eastAsia="Times New Roman" w:cs="Times New Roman"/>
              </w:rPr>
            </w:pPr>
            <w:r>
              <w:rPr>
                <w:rFonts w:eastAsia="Times New Roman" w:cs="Times New Roman"/>
              </w:rPr>
              <w:t xml:space="preserve">  –a</w:t>
            </w:r>
          </w:p>
          <w:p w:rsidR="00466E83" w:rsidRPr="00466E83" w:rsidRDefault="00466E83" w:rsidP="00466E83">
            <w:pPr>
              <w:pStyle w:val="NoSpacing"/>
              <w:ind w:left="720"/>
              <w:rPr>
                <w:rFonts w:eastAsia="Times New Roman" w:cs="Times New Roman"/>
              </w:rPr>
            </w:pPr>
          </w:p>
        </w:tc>
      </w:tr>
    </w:tbl>
    <w:p w:rsidR="00EA6D2B" w:rsidRPr="003A50AD" w:rsidRDefault="00EA6D2B" w:rsidP="001E5C5A">
      <w:pPr>
        <w:pStyle w:val="NoSpacing"/>
        <w:rPr>
          <w:rFonts w:eastAsiaTheme="minorEastAsia"/>
        </w:rPr>
      </w:pPr>
    </w:p>
    <w:sectPr w:rsidR="00EA6D2B" w:rsidRPr="003A50AD" w:rsidSect="00F42FD9">
      <w:headerReference w:type="default" r:id="rId11"/>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E5" w:rsidRDefault="006D54E5" w:rsidP="006D54E5">
      <w:pPr>
        <w:spacing w:after="0" w:line="240" w:lineRule="auto"/>
      </w:pPr>
      <w:r>
        <w:separator/>
      </w:r>
    </w:p>
  </w:endnote>
  <w:endnote w:type="continuationSeparator" w:id="0">
    <w:p w:rsidR="006D54E5" w:rsidRDefault="006D54E5" w:rsidP="006D5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E5" w:rsidRDefault="006D54E5" w:rsidP="006D54E5">
      <w:pPr>
        <w:spacing w:after="0" w:line="240" w:lineRule="auto"/>
      </w:pPr>
      <w:r>
        <w:separator/>
      </w:r>
    </w:p>
  </w:footnote>
  <w:footnote w:type="continuationSeparator" w:id="0">
    <w:p w:rsidR="006D54E5" w:rsidRDefault="006D54E5" w:rsidP="006D5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E5" w:rsidRDefault="006D54E5">
    <w:pPr>
      <w:pStyle w:val="Header"/>
    </w:pPr>
    <w:r>
      <w:t>TRS 82</w:t>
    </w:r>
    <w:r>
      <w:ptab w:relativeTo="margin" w:alignment="center" w:leader="none"/>
    </w:r>
    <w:r>
      <w:t>Day 15 Homework</w:t>
    </w:r>
    <w:r>
      <w:ptab w:relativeTo="margin" w:alignment="right" w:leader="none"/>
    </w:r>
    <w:r>
      <w:t>Name:  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AB2"/>
    <w:multiLevelType w:val="hybridMultilevel"/>
    <w:tmpl w:val="1934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D0A50"/>
    <w:multiLevelType w:val="hybridMultilevel"/>
    <w:tmpl w:val="B814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A5FF9"/>
    <w:multiLevelType w:val="hybridMultilevel"/>
    <w:tmpl w:val="75BC45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6477FC"/>
    <w:multiLevelType w:val="hybridMultilevel"/>
    <w:tmpl w:val="A3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90577"/>
    <w:multiLevelType w:val="hybridMultilevel"/>
    <w:tmpl w:val="A3D4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81216"/>
    <w:multiLevelType w:val="hybridMultilevel"/>
    <w:tmpl w:val="3734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969E7"/>
    <w:multiLevelType w:val="hybridMultilevel"/>
    <w:tmpl w:val="FD8A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005D0"/>
    <w:multiLevelType w:val="hybridMultilevel"/>
    <w:tmpl w:val="3D3C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5ADA"/>
    <w:multiLevelType w:val="hybridMultilevel"/>
    <w:tmpl w:val="5F20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379CA"/>
    <w:multiLevelType w:val="hybridMultilevel"/>
    <w:tmpl w:val="31DC5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64F2F"/>
    <w:multiLevelType w:val="hybridMultilevel"/>
    <w:tmpl w:val="434C1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9202AB"/>
    <w:multiLevelType w:val="hybridMultilevel"/>
    <w:tmpl w:val="1A40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C4A15"/>
    <w:multiLevelType w:val="hybridMultilevel"/>
    <w:tmpl w:val="90F2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9"/>
  </w:num>
  <w:num w:numId="5">
    <w:abstractNumId w:val="5"/>
  </w:num>
  <w:num w:numId="6">
    <w:abstractNumId w:val="12"/>
  </w:num>
  <w:num w:numId="7">
    <w:abstractNumId w:val="6"/>
  </w:num>
  <w:num w:numId="8">
    <w:abstractNumId w:val="0"/>
  </w:num>
  <w:num w:numId="9">
    <w:abstractNumId w:val="3"/>
  </w:num>
  <w:num w:numId="10">
    <w:abstractNumId w:val="2"/>
  </w:num>
  <w:num w:numId="11">
    <w:abstractNumId w:val="1"/>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6D2B"/>
    <w:rsid w:val="00025E86"/>
    <w:rsid w:val="000C6394"/>
    <w:rsid w:val="00110A44"/>
    <w:rsid w:val="001E5C5A"/>
    <w:rsid w:val="00310897"/>
    <w:rsid w:val="003401E0"/>
    <w:rsid w:val="00342601"/>
    <w:rsid w:val="003A50AD"/>
    <w:rsid w:val="003E3E43"/>
    <w:rsid w:val="00466E83"/>
    <w:rsid w:val="005908DB"/>
    <w:rsid w:val="0065226E"/>
    <w:rsid w:val="006565DA"/>
    <w:rsid w:val="006D54E5"/>
    <w:rsid w:val="00813B9A"/>
    <w:rsid w:val="008A74A7"/>
    <w:rsid w:val="008B4188"/>
    <w:rsid w:val="00941856"/>
    <w:rsid w:val="009A6970"/>
    <w:rsid w:val="00AB4E7D"/>
    <w:rsid w:val="00B82B7C"/>
    <w:rsid w:val="00C01C00"/>
    <w:rsid w:val="00C35290"/>
    <w:rsid w:val="00DB5781"/>
    <w:rsid w:val="00EA6D2B"/>
    <w:rsid w:val="00EC35AF"/>
    <w:rsid w:val="00F42FD9"/>
    <w:rsid w:val="00F73545"/>
    <w:rsid w:val="00F93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ListParagraph">
    <w:name w:val="List Paragraph"/>
    <w:basedOn w:val="Normal"/>
    <w:uiPriority w:val="34"/>
    <w:qFormat/>
    <w:rsid w:val="00EA6D2B"/>
    <w:pPr>
      <w:ind w:left="720"/>
      <w:contextualSpacing/>
    </w:pPr>
  </w:style>
  <w:style w:type="character" w:styleId="PlaceholderText">
    <w:name w:val="Placeholder Text"/>
    <w:basedOn w:val="DefaultParagraphFont"/>
    <w:uiPriority w:val="99"/>
    <w:semiHidden/>
    <w:rsid w:val="00EA6D2B"/>
    <w:rPr>
      <w:color w:val="808080"/>
    </w:rPr>
  </w:style>
  <w:style w:type="paragraph" w:styleId="BalloonText">
    <w:name w:val="Balloon Text"/>
    <w:basedOn w:val="Normal"/>
    <w:link w:val="BalloonTextChar"/>
    <w:uiPriority w:val="99"/>
    <w:semiHidden/>
    <w:unhideWhenUsed/>
    <w:rsid w:val="00EA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D2B"/>
    <w:rPr>
      <w:rFonts w:ascii="Tahoma" w:hAnsi="Tahoma" w:cs="Tahoma"/>
      <w:sz w:val="16"/>
      <w:szCs w:val="16"/>
    </w:rPr>
  </w:style>
  <w:style w:type="table" w:styleId="TableGrid">
    <w:name w:val="Table Grid"/>
    <w:basedOn w:val="TableNormal"/>
    <w:uiPriority w:val="59"/>
    <w:rsid w:val="00342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50AD"/>
    <w:rPr>
      <w:color w:val="0000FF" w:themeColor="hyperlink"/>
      <w:u w:val="single"/>
    </w:rPr>
  </w:style>
  <w:style w:type="paragraph" w:styleId="Header">
    <w:name w:val="header"/>
    <w:basedOn w:val="Normal"/>
    <w:link w:val="HeaderChar"/>
    <w:uiPriority w:val="99"/>
    <w:semiHidden/>
    <w:unhideWhenUsed/>
    <w:rsid w:val="006D5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4E5"/>
  </w:style>
  <w:style w:type="paragraph" w:styleId="Footer">
    <w:name w:val="footer"/>
    <w:basedOn w:val="Normal"/>
    <w:link w:val="FooterChar"/>
    <w:uiPriority w:val="99"/>
    <w:semiHidden/>
    <w:unhideWhenUsed/>
    <w:rsid w:val="006D5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com/school/subject1/lessons/S1U1L11GL.html%23sm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C38B33ZywWs&amp;feature=youtube_g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lvm.usu.edu/en/nav/frames_asid_161_g_1_t_1.html?from=topic_t_1.html" TargetMode="External"/><Relationship Id="rId4" Type="http://schemas.openxmlformats.org/officeDocument/2006/relationships/webSettings" Target="webSettings.xml"/><Relationship Id="rId9" Type="http://schemas.openxmlformats.org/officeDocument/2006/relationships/hyperlink" Target="http://www.purplemath.com/modules/negativ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6</cp:revision>
  <dcterms:created xsi:type="dcterms:W3CDTF">2010-01-25T21:15:00Z</dcterms:created>
  <dcterms:modified xsi:type="dcterms:W3CDTF">2011-06-02T17:22:00Z</dcterms:modified>
</cp:coreProperties>
</file>