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7F" w:rsidRDefault="007C5A90" w:rsidP="007C5A90">
      <w:pPr>
        <w:pStyle w:val="NoSpacing"/>
      </w:pPr>
      <w:r>
        <w:t>Your homework from Day 15 of this course included a discussion of some of the uses of parenthesis.</w:t>
      </w:r>
      <w:r w:rsidR="00271F77">
        <w:t xml:space="preserve">  You should review this list</w:t>
      </w:r>
      <w:r w:rsidR="00E56D7F">
        <w:t xml:space="preserve"> before proceeding.</w:t>
      </w:r>
      <w:r>
        <w:t xml:space="preserve">  </w:t>
      </w:r>
    </w:p>
    <w:p w:rsidR="00E56D7F" w:rsidRDefault="00E56D7F" w:rsidP="007C5A90">
      <w:pPr>
        <w:pStyle w:val="NoSpacing"/>
      </w:pPr>
    </w:p>
    <w:p w:rsidR="007C5A90" w:rsidRDefault="007C5A90" w:rsidP="007C5A90">
      <w:pPr>
        <w:pStyle w:val="NoSpacing"/>
      </w:pPr>
      <w:r>
        <w:t xml:space="preserve">Another use of parenthesis is to separate </w:t>
      </w:r>
      <w:r w:rsidR="00271F77">
        <w:t>expressions</w:t>
      </w:r>
      <w:r>
        <w:t xml:space="preserve">.  </w:t>
      </w:r>
      <w:r w:rsidR="00840792">
        <w:t>For example, suppose that in your tiling business, you have the two designs shown below in your catalog:</w:t>
      </w:r>
    </w:p>
    <w:p w:rsidR="00840792" w:rsidRDefault="00840792" w:rsidP="007C5A90">
      <w:pPr>
        <w:pStyle w:val="NoSpacing"/>
      </w:pPr>
      <w:r>
        <w:rPr>
          <w:noProof/>
        </w:rPr>
        <w:drawing>
          <wp:inline distT="0" distB="0" distL="0" distR="0">
            <wp:extent cx="18288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8800" cy="1152525"/>
                    </a:xfrm>
                    <a:prstGeom prst="rect">
                      <a:avLst/>
                    </a:prstGeom>
                    <a:noFill/>
                    <a:ln w="9525">
                      <a:noFill/>
                      <a:miter lim="800000"/>
                      <a:headEnd/>
                      <a:tailEnd/>
                    </a:ln>
                  </pic:spPr>
                </pic:pic>
              </a:graphicData>
            </a:graphic>
          </wp:inline>
        </w:drawing>
      </w:r>
      <w:r>
        <w:tab/>
      </w:r>
      <w:r>
        <w:tab/>
      </w:r>
      <w:r>
        <w:rPr>
          <w:noProof/>
        </w:rPr>
        <w:drawing>
          <wp:inline distT="0" distB="0" distL="0" distR="0">
            <wp:extent cx="1771650" cy="1181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1650" cy="1181100"/>
                    </a:xfrm>
                    <a:prstGeom prst="rect">
                      <a:avLst/>
                    </a:prstGeom>
                    <a:noFill/>
                    <a:ln w="9525">
                      <a:noFill/>
                      <a:miter lim="800000"/>
                      <a:headEnd/>
                      <a:tailEnd/>
                    </a:ln>
                  </pic:spPr>
                </pic:pic>
              </a:graphicData>
            </a:graphic>
          </wp:inline>
        </w:drawing>
      </w:r>
    </w:p>
    <w:p w:rsidR="00840792" w:rsidRDefault="00840792" w:rsidP="007C5A90">
      <w:pPr>
        <w:pStyle w:val="NoSpacing"/>
      </w:pPr>
      <w:r w:rsidRPr="00DD4DB5">
        <w:rPr>
          <w:b/>
        </w:rPr>
        <w:t>Greenland Border</w:t>
      </w:r>
      <w:r>
        <w:tab/>
      </w:r>
      <w:r>
        <w:tab/>
      </w:r>
      <w:r>
        <w:tab/>
      </w:r>
      <w:r>
        <w:tab/>
      </w:r>
      <w:r w:rsidRPr="00DD4DB5">
        <w:rPr>
          <w:b/>
        </w:rPr>
        <w:t>Green Eye Border</w:t>
      </w:r>
    </w:p>
    <w:p w:rsidR="00840792" w:rsidRDefault="00840792" w:rsidP="007C5A90">
      <w:pPr>
        <w:pStyle w:val="NoSpacing"/>
      </w:pPr>
      <w:r>
        <w:t xml:space="preserve">Basic unit:  2T + </w:t>
      </w:r>
      <w:proofErr w:type="spellStart"/>
      <w:r>
        <w:t>R</w:t>
      </w:r>
      <w:r w:rsidRPr="00840792">
        <w:rPr>
          <w:vertAlign w:val="subscript"/>
        </w:rPr>
        <w:t>b</w:t>
      </w:r>
      <w:proofErr w:type="spellEnd"/>
      <w:r>
        <w:tab/>
      </w:r>
      <w:r>
        <w:tab/>
      </w:r>
      <w:r>
        <w:tab/>
      </w:r>
      <w:r>
        <w:tab/>
        <w:t>Basic unit:  4R</w:t>
      </w:r>
      <w:r w:rsidRPr="00840792">
        <w:rPr>
          <w:vertAlign w:val="subscript"/>
        </w:rPr>
        <w:t>b</w:t>
      </w:r>
      <w:r>
        <w:t xml:space="preserve"> + 2T</w:t>
      </w:r>
    </w:p>
    <w:p w:rsidR="00840792" w:rsidRDefault="00840792" w:rsidP="007C5A90">
      <w:pPr>
        <w:pStyle w:val="NoSpacing"/>
      </w:pPr>
    </w:p>
    <w:p w:rsidR="00840792" w:rsidRDefault="00840792" w:rsidP="007C5A90">
      <w:pPr>
        <w:pStyle w:val="NoSpacing"/>
      </w:pPr>
      <w:r>
        <w:t>You have a customer who wants to combine the two into one design as shown below:</w:t>
      </w:r>
    </w:p>
    <w:p w:rsidR="00840792" w:rsidRDefault="00840792" w:rsidP="007C5A90">
      <w:pPr>
        <w:pStyle w:val="NoSpacing"/>
      </w:pPr>
      <w:r>
        <w:rPr>
          <w:noProof/>
        </w:rPr>
        <w:drawing>
          <wp:inline distT="0" distB="0" distL="0" distR="0">
            <wp:extent cx="2847975" cy="1095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47975" cy="1095375"/>
                    </a:xfrm>
                    <a:prstGeom prst="rect">
                      <a:avLst/>
                    </a:prstGeom>
                    <a:noFill/>
                    <a:ln w="9525">
                      <a:noFill/>
                      <a:miter lim="800000"/>
                      <a:headEnd/>
                      <a:tailEnd/>
                    </a:ln>
                  </pic:spPr>
                </pic:pic>
              </a:graphicData>
            </a:graphic>
          </wp:inline>
        </w:drawing>
      </w:r>
    </w:p>
    <w:p w:rsidR="00840792" w:rsidRPr="00DD4DB5" w:rsidRDefault="00840792" w:rsidP="007C5A90">
      <w:pPr>
        <w:pStyle w:val="NoSpacing"/>
        <w:rPr>
          <w:b/>
        </w:rPr>
      </w:pPr>
      <w:r w:rsidRPr="00DD4DB5">
        <w:rPr>
          <w:b/>
        </w:rPr>
        <w:t>Custom Design</w:t>
      </w:r>
    </w:p>
    <w:p w:rsidR="00840792" w:rsidRDefault="00840792" w:rsidP="007C5A90">
      <w:pPr>
        <w:pStyle w:val="NoSpacing"/>
      </w:pPr>
    </w:p>
    <w:p w:rsidR="00840792" w:rsidRDefault="00840792" w:rsidP="00271F77">
      <w:pPr>
        <w:pStyle w:val="NoSpacing"/>
        <w:jc w:val="center"/>
      </w:pPr>
      <w:r>
        <w:t xml:space="preserve">Because all of your accounting spreadsheets are set up with your existing designs, it might be helpful for you to write the expression for the Custom Design in terms of the other two designs:  2 (2T + </w:t>
      </w:r>
      <w:proofErr w:type="spellStart"/>
      <w:r>
        <w:t>R</w:t>
      </w:r>
      <w:r w:rsidRPr="00840792">
        <w:rPr>
          <w:vertAlign w:val="subscript"/>
        </w:rPr>
        <w:t>b</w:t>
      </w:r>
      <w:proofErr w:type="spellEnd"/>
      <w:r>
        <w:t>) + (4R</w:t>
      </w:r>
      <w:r w:rsidRPr="00840792">
        <w:rPr>
          <w:vertAlign w:val="subscript"/>
        </w:rPr>
        <w:t>b</w:t>
      </w:r>
      <w:r>
        <w:t xml:space="preserve"> + 2T)</w:t>
      </w:r>
    </w:p>
    <w:p w:rsidR="00840792" w:rsidRDefault="00840792" w:rsidP="007C5A90">
      <w:pPr>
        <w:pStyle w:val="NoSpacing"/>
      </w:pPr>
      <w:r>
        <w:t xml:space="preserve">The </w:t>
      </w:r>
      <w:proofErr w:type="gramStart"/>
      <w:r>
        <w:t>parenthesis serve</w:t>
      </w:r>
      <w:proofErr w:type="gramEnd"/>
      <w:r>
        <w:t xml:space="preserve"> two different purposes here.  The first set shows multiplication</w:t>
      </w:r>
      <w:r w:rsidR="00271F77">
        <w:t xml:space="preserve"> indicating you can use the Distributive Property:</w:t>
      </w:r>
    </w:p>
    <w:p w:rsidR="00271F77" w:rsidRDefault="00271F77" w:rsidP="007C5A90">
      <w:pPr>
        <w:pStyle w:val="NoSpacing"/>
      </w:pPr>
    </w:p>
    <w:p w:rsidR="00271F77" w:rsidRDefault="00271F77" w:rsidP="00271F77">
      <w:pPr>
        <w:pStyle w:val="NoSpacing"/>
        <w:jc w:val="center"/>
      </w:pPr>
      <w:r>
        <w:t xml:space="preserve">2 (2T + </w:t>
      </w:r>
      <w:proofErr w:type="spellStart"/>
      <w:r>
        <w:t>R</w:t>
      </w:r>
      <w:r w:rsidRPr="00840792">
        <w:rPr>
          <w:vertAlign w:val="subscript"/>
        </w:rPr>
        <w:t>b</w:t>
      </w:r>
      <w:proofErr w:type="spellEnd"/>
      <w:r>
        <w:t>) + (4R</w:t>
      </w:r>
      <w:r w:rsidRPr="00840792">
        <w:rPr>
          <w:vertAlign w:val="subscript"/>
        </w:rPr>
        <w:t>b</w:t>
      </w:r>
      <w:r>
        <w:t xml:space="preserve"> + 2T) </w:t>
      </w:r>
      <w:r>
        <w:sym w:font="Wingdings" w:char="F0E0"/>
      </w:r>
      <w:r>
        <w:t xml:space="preserve"> (4T + 2</w:t>
      </w:r>
      <w:r w:rsidRPr="00271F77">
        <w:t xml:space="preserve"> </w:t>
      </w:r>
      <w:proofErr w:type="spellStart"/>
      <w:r>
        <w:t>R</w:t>
      </w:r>
      <w:r w:rsidRPr="00840792">
        <w:rPr>
          <w:vertAlign w:val="subscript"/>
        </w:rPr>
        <w:t>b</w:t>
      </w:r>
      <w:proofErr w:type="spellEnd"/>
      <w:r>
        <w:t>) + (4R</w:t>
      </w:r>
      <w:r w:rsidRPr="00840792">
        <w:rPr>
          <w:vertAlign w:val="subscript"/>
        </w:rPr>
        <w:t>b</w:t>
      </w:r>
      <w:r>
        <w:t xml:space="preserve"> + 2T)</w:t>
      </w:r>
    </w:p>
    <w:p w:rsidR="00271F77" w:rsidRDefault="00271F77" w:rsidP="00271F77">
      <w:pPr>
        <w:pStyle w:val="NoSpacing"/>
        <w:jc w:val="center"/>
      </w:pPr>
    </w:p>
    <w:p w:rsidR="00271F77" w:rsidRDefault="00271F77" w:rsidP="007C5A90">
      <w:pPr>
        <w:pStyle w:val="NoSpacing"/>
      </w:pPr>
      <w:r>
        <w:t xml:space="preserve">But the </w:t>
      </w:r>
      <w:proofErr w:type="gramStart"/>
      <w:r>
        <w:t>parenthesis also help</w:t>
      </w:r>
      <w:proofErr w:type="gramEnd"/>
      <w:r>
        <w:t xml:space="preserve"> you remember that the two polynomials have a meaning in your accounting system.  This is only meaning </w:t>
      </w:r>
      <w:r>
        <w:rPr>
          <w:i/>
        </w:rPr>
        <w:t>within a context</w:t>
      </w:r>
      <w:r>
        <w:t>.  It doesn’t mean anything mathematically.  If we remove the parenthesis, we still have an equivalent expression. In fact, it can be simplified.</w:t>
      </w:r>
    </w:p>
    <w:p w:rsidR="00271F77" w:rsidRDefault="00271F77" w:rsidP="00271F77">
      <w:pPr>
        <w:pStyle w:val="NoSpacing"/>
        <w:jc w:val="center"/>
        <w:rPr>
          <w:vertAlign w:val="subscript"/>
        </w:rPr>
      </w:pPr>
      <w:r>
        <w:t>(4T + 2</w:t>
      </w:r>
      <w:r w:rsidRPr="00271F77">
        <w:t xml:space="preserve"> </w:t>
      </w:r>
      <w:proofErr w:type="spellStart"/>
      <w:r>
        <w:t>R</w:t>
      </w:r>
      <w:r w:rsidRPr="00840792">
        <w:rPr>
          <w:vertAlign w:val="subscript"/>
        </w:rPr>
        <w:t>b</w:t>
      </w:r>
      <w:proofErr w:type="spellEnd"/>
      <w:r>
        <w:t>) + (4R</w:t>
      </w:r>
      <w:r w:rsidRPr="00840792">
        <w:rPr>
          <w:vertAlign w:val="subscript"/>
        </w:rPr>
        <w:t>b</w:t>
      </w:r>
      <w:r>
        <w:t xml:space="preserve"> + 2T)   </w:t>
      </w:r>
      <w:r>
        <w:sym w:font="Wingdings" w:char="F0E0"/>
      </w:r>
      <w:r>
        <w:t xml:space="preserve">    4T + 2</w:t>
      </w:r>
      <w:r w:rsidRPr="00271F77">
        <w:t xml:space="preserve"> </w:t>
      </w:r>
      <w:proofErr w:type="spellStart"/>
      <w:r>
        <w:t>R</w:t>
      </w:r>
      <w:r w:rsidRPr="00840792">
        <w:rPr>
          <w:vertAlign w:val="subscript"/>
        </w:rPr>
        <w:t>b</w:t>
      </w:r>
      <w:proofErr w:type="spellEnd"/>
      <w:r>
        <w:t xml:space="preserve"> + 4R</w:t>
      </w:r>
      <w:r w:rsidRPr="00840792">
        <w:rPr>
          <w:vertAlign w:val="subscript"/>
        </w:rPr>
        <w:t>b</w:t>
      </w:r>
      <w:r>
        <w:t xml:space="preserve"> + 2T   </w:t>
      </w:r>
      <w:r>
        <w:sym w:font="Wingdings" w:char="F0E0"/>
      </w:r>
      <w:r>
        <w:t xml:space="preserve">    6T + 6R</w:t>
      </w:r>
      <w:r w:rsidRPr="00840792">
        <w:rPr>
          <w:vertAlign w:val="subscript"/>
        </w:rPr>
        <w:t>b</w:t>
      </w:r>
    </w:p>
    <w:p w:rsidR="00271F77" w:rsidRDefault="00271F77" w:rsidP="00271F77">
      <w:pPr>
        <w:pStyle w:val="NoSpacing"/>
        <w:rPr>
          <w:vertAlign w:val="subscript"/>
        </w:rPr>
      </w:pPr>
    </w:p>
    <w:p w:rsidR="00271F77" w:rsidRDefault="00271F77" w:rsidP="00271F77">
      <w:pPr>
        <w:pStyle w:val="NoSpacing"/>
      </w:pPr>
      <w:r>
        <w:t>When you see parenthesis grouping an expression together, you should look at it carefully to determine if the parenthesis indicate either order of operations or multiplication.  If not, they may simply indicate a contextual grouping and can be removed to allow you to simplify the expression.</w:t>
      </w:r>
    </w:p>
    <w:p w:rsidR="00E56D7F" w:rsidRDefault="00E56D7F" w:rsidP="00271F77">
      <w:pPr>
        <w:pStyle w:val="NoSpacing"/>
      </w:pPr>
    </w:p>
    <w:p w:rsidR="00DD4DB5" w:rsidRDefault="00DD4DB5">
      <w:pPr>
        <w:rPr>
          <w:b/>
        </w:rPr>
      </w:pPr>
      <w:r>
        <w:rPr>
          <w:b/>
        </w:rPr>
        <w:br w:type="page"/>
      </w:r>
    </w:p>
    <w:p w:rsidR="00E56D7F" w:rsidRDefault="00E56D7F" w:rsidP="00271F77">
      <w:pPr>
        <w:pStyle w:val="NoSpacing"/>
      </w:pPr>
      <w:r>
        <w:rPr>
          <w:b/>
        </w:rPr>
        <w:lastRenderedPageBreak/>
        <w:t xml:space="preserve">For each expression below, </w:t>
      </w:r>
      <w:r w:rsidR="00DD4DB5">
        <w:rPr>
          <w:b/>
        </w:rPr>
        <w:t>select the item from the list below that best describes the purpose of the parenthesis in the expression</w:t>
      </w:r>
      <w:r>
        <w:rPr>
          <w:b/>
        </w:rPr>
        <w:t>.</w:t>
      </w:r>
      <w:r w:rsidR="00DD4DB5">
        <w:rPr>
          <w:b/>
        </w:rPr>
        <w:t xml:space="preserve">  Write the letter of the item in the blank.</w:t>
      </w:r>
    </w:p>
    <w:p w:rsidR="00E56D7F" w:rsidRDefault="00E56D7F" w:rsidP="00271F77">
      <w:pPr>
        <w:pStyle w:val="NoSpacing"/>
      </w:pPr>
    </w:p>
    <w:p w:rsidR="00DD4DB5" w:rsidRDefault="00DD4DB5" w:rsidP="00DD4DB5">
      <w:pPr>
        <w:pStyle w:val="NoSpacing"/>
        <w:numPr>
          <w:ilvl w:val="0"/>
          <w:numId w:val="2"/>
        </w:numPr>
      </w:pPr>
      <w:r>
        <w:t>Indicates multiplication</w:t>
      </w:r>
    </w:p>
    <w:p w:rsidR="00DD4DB5" w:rsidRDefault="00DD4DB5" w:rsidP="00DD4DB5">
      <w:pPr>
        <w:pStyle w:val="NoSpacing"/>
        <w:numPr>
          <w:ilvl w:val="0"/>
          <w:numId w:val="2"/>
        </w:numPr>
      </w:pPr>
      <w:r>
        <w:t>Indicates order of operations</w:t>
      </w:r>
    </w:p>
    <w:p w:rsidR="00DD4DB5" w:rsidRDefault="00DD4DB5" w:rsidP="00DD4DB5">
      <w:pPr>
        <w:pStyle w:val="NoSpacing"/>
        <w:numPr>
          <w:ilvl w:val="0"/>
          <w:numId w:val="2"/>
        </w:numPr>
      </w:pPr>
      <w:r>
        <w:t>Separates symbols</w:t>
      </w:r>
    </w:p>
    <w:p w:rsidR="00DD4DB5" w:rsidRDefault="00DD4DB5" w:rsidP="00DD4DB5">
      <w:pPr>
        <w:pStyle w:val="NoSpacing"/>
        <w:numPr>
          <w:ilvl w:val="0"/>
          <w:numId w:val="2"/>
        </w:numPr>
      </w:pPr>
      <w:r>
        <w:t>Groups expressions</w:t>
      </w:r>
    </w:p>
    <w:p w:rsidR="00DD4DB5" w:rsidRDefault="00DD4DB5" w:rsidP="00DD4DB5">
      <w:pPr>
        <w:pStyle w:val="NoSpacing"/>
        <w:ind w:left="720"/>
      </w:pPr>
    </w:p>
    <w:p w:rsidR="00E56D7F" w:rsidRPr="00DD4DB5" w:rsidRDefault="00DD4DB5" w:rsidP="00DD4DB5">
      <w:pPr>
        <w:pStyle w:val="NoSpacing"/>
        <w:numPr>
          <w:ilvl w:val="0"/>
          <w:numId w:val="1"/>
        </w:numPr>
        <w:spacing w:line="360" w:lineRule="auto"/>
        <w:rPr>
          <w:rFonts w:eastAsiaTheme="minorEastAsia"/>
        </w:rPr>
      </w:pPr>
      <w:r>
        <w:rPr>
          <w:rFonts w:eastAsiaTheme="minorEastAsia"/>
        </w:rPr>
        <w:t xml:space="preserve">_____ </w:t>
      </w:r>
      <m:oMath>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-3a+5</m:t>
            </m:r>
          </m:e>
        </m:d>
        <m:r>
          <w:rPr>
            <w:rFonts w:ascii="Cambria Math" w:hAnsi="Cambria Math"/>
          </w:rPr>
          <m:t xml:space="preserve">+ </m:t>
        </m:r>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+ 9</m:t>
            </m:r>
          </m:e>
        </m:d>
      </m:oMath>
    </w:p>
    <w:p w:rsidR="00DD4DB5" w:rsidRDefault="00DD4DB5" w:rsidP="00DD4DB5">
      <w:pPr>
        <w:pStyle w:val="NoSpacing"/>
        <w:numPr>
          <w:ilvl w:val="0"/>
          <w:numId w:val="1"/>
        </w:numPr>
        <w:spacing w:line="360" w:lineRule="auto"/>
        <w:rPr>
          <w:rFonts w:eastAsiaTheme="minorEastAsia"/>
        </w:rPr>
      </w:pPr>
      <w:r>
        <w:rPr>
          <w:rFonts w:eastAsiaTheme="minorEastAsia"/>
        </w:rPr>
        <w:t xml:space="preserve">_____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+ 3x-1</m:t>
            </m:r>
          </m:e>
        </m:d>
        <m:r>
          <w:rPr>
            <w:rFonts w:ascii="Cambria Math" w:eastAsiaTheme="minorEastAsia" w:hAnsi="Cambria Math"/>
          </w:rPr>
          <m:t>-4(2x+5)</m:t>
        </m:r>
      </m:oMath>
    </w:p>
    <w:p w:rsidR="00DD4DB5" w:rsidRPr="00DD4DB5" w:rsidRDefault="00DD4DB5" w:rsidP="00DD4DB5">
      <w:pPr>
        <w:pStyle w:val="NoSpacing"/>
        <w:numPr>
          <w:ilvl w:val="0"/>
          <w:numId w:val="1"/>
        </w:numPr>
        <w:spacing w:line="360" w:lineRule="auto"/>
        <w:rPr>
          <w:rFonts w:eastAsiaTheme="minorEastAsia"/>
        </w:rPr>
      </w:pPr>
      <w:r>
        <w:rPr>
          <w:rFonts w:eastAsiaTheme="minorEastAsia"/>
        </w:rPr>
        <w:t xml:space="preserve">_____ </w:t>
      </w:r>
      <m:oMath>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9</m:t>
            </m:r>
          </m:e>
        </m:d>
      </m:oMath>
    </w:p>
    <w:p w:rsidR="00DD4DB5" w:rsidRDefault="00DD4DB5" w:rsidP="00DD4DB5">
      <w:pPr>
        <w:pStyle w:val="NoSpacing"/>
        <w:numPr>
          <w:ilvl w:val="0"/>
          <w:numId w:val="1"/>
        </w:numPr>
        <w:spacing w:line="360" w:lineRule="auto"/>
        <w:rPr>
          <w:rFonts w:eastAsiaTheme="minorEastAsia"/>
        </w:rPr>
      </w:pPr>
      <w:r>
        <w:rPr>
          <w:rFonts w:eastAsiaTheme="minorEastAsia"/>
        </w:rPr>
        <w:t xml:space="preserve">_____ </w:t>
      </w:r>
      <m:oMath>
        <m:sSup>
          <m:sSupPr>
            <m:ctrlPr>
              <w:rPr>
                <w:rFonts w:ascii="Cambria Math" w:eastAsiaTheme="minorEastAsia" w:hAnsi="Cambria Math"/>
                <w:i/>
              </w:rPr>
            </m:ctrlPr>
          </m:sSupPr>
          <m:e>
            <m:r>
              <w:rPr>
                <w:rFonts w:ascii="Cambria Math" w:eastAsiaTheme="minorEastAsia" w:hAnsi="Cambria Math"/>
              </w:rPr>
              <m:t>(4-8)</m:t>
            </m:r>
          </m:e>
          <m:sup>
            <m:r>
              <w:rPr>
                <w:rFonts w:ascii="Cambria Math" w:eastAsiaTheme="minorEastAsia" w:hAnsi="Cambria Math"/>
              </w:rPr>
              <m:t>2</m:t>
            </m:r>
          </m:sup>
        </m:sSup>
        <m:r>
          <w:rPr>
            <w:rFonts w:ascii="Cambria Math" w:eastAsiaTheme="minorEastAsia" w:hAnsi="Cambria Math"/>
          </w:rPr>
          <m:t>+ 3</m:t>
        </m:r>
      </m:oMath>
    </w:p>
    <w:p w:rsidR="00DD4DB5" w:rsidRPr="00DD4DB5" w:rsidRDefault="00DD4DB5" w:rsidP="00DD4DB5">
      <w:pPr>
        <w:pStyle w:val="NoSpacing"/>
        <w:numPr>
          <w:ilvl w:val="0"/>
          <w:numId w:val="1"/>
        </w:numPr>
        <w:spacing w:line="360" w:lineRule="auto"/>
        <w:rPr>
          <w:rFonts w:eastAsiaTheme="minorEastAsia"/>
        </w:rPr>
      </w:pPr>
      <w:r>
        <w:rPr>
          <w:rFonts w:eastAsiaTheme="minorEastAsia"/>
        </w:rPr>
        <w:t xml:space="preserve">_____ </w:t>
      </w:r>
      <m:oMath>
        <m:r>
          <w:rPr>
            <w:rFonts w:ascii="Cambria Math" w:eastAsiaTheme="minorEastAsia" w:hAnsi="Cambria Math"/>
          </w:rPr>
          <m:t>6+(-5)</m:t>
        </m:r>
      </m:oMath>
    </w:p>
    <w:p w:rsidR="00271F77" w:rsidRDefault="00271F77" w:rsidP="00271F77">
      <w:pPr>
        <w:pStyle w:val="NoSpacing"/>
        <w:jc w:val="center"/>
      </w:pPr>
    </w:p>
    <w:p w:rsidR="00271F77" w:rsidRDefault="00271F77" w:rsidP="00271F77">
      <w:pPr>
        <w:pStyle w:val="NoSpacing"/>
        <w:jc w:val="center"/>
      </w:pPr>
    </w:p>
    <w:p w:rsidR="00D764AE" w:rsidRDefault="00D764AE" w:rsidP="00271F77">
      <w:pPr>
        <w:pStyle w:val="NoSpacing"/>
        <w:jc w:val="center"/>
      </w:pPr>
    </w:p>
    <w:p w:rsidR="00D764AE" w:rsidRDefault="00D764AE" w:rsidP="00271F77">
      <w:pPr>
        <w:pStyle w:val="NoSpacing"/>
        <w:jc w:val="center"/>
      </w:pPr>
    </w:p>
    <w:p w:rsidR="00D764AE" w:rsidRDefault="00D764AE" w:rsidP="00DD4DB5">
      <w:pPr>
        <w:pStyle w:val="NoSpacing"/>
        <w:rPr>
          <w:b/>
        </w:rPr>
      </w:pPr>
      <w:r>
        <w:rPr>
          <w:b/>
        </w:rPr>
        <w:t>Learning Skill Reflection</w:t>
      </w:r>
    </w:p>
    <w:p w:rsidR="00D764AE" w:rsidRDefault="00D764AE" w:rsidP="00D764AE">
      <w:pPr>
        <w:pStyle w:val="NoSpacing"/>
      </w:pPr>
      <w:r>
        <w:t>Write your responses to these questions on your own paper or type them.</w:t>
      </w:r>
    </w:p>
    <w:p w:rsidR="00D764AE" w:rsidRDefault="00D764AE" w:rsidP="00D764AE">
      <w:pPr>
        <w:pStyle w:val="NoSpacing"/>
        <w:numPr>
          <w:ilvl w:val="0"/>
          <w:numId w:val="4"/>
        </w:numPr>
      </w:pPr>
      <w:r>
        <w:t>Review your first three quizzes and your exam.  Are there any concepts that you have missed more than once?  Are there any types of errors you have made repeatedly?  What concepts do you need to work on to understand better?</w:t>
      </w:r>
    </w:p>
    <w:p w:rsidR="00D764AE" w:rsidRDefault="00D764AE" w:rsidP="00D764AE">
      <w:pPr>
        <w:pStyle w:val="NoSpacing"/>
      </w:pPr>
    </w:p>
    <w:p w:rsidR="00D764AE" w:rsidRDefault="00D764AE" w:rsidP="00D764AE">
      <w:pPr>
        <w:pStyle w:val="NoSpacing"/>
      </w:pPr>
    </w:p>
    <w:p w:rsidR="00D764AE" w:rsidRDefault="00D764AE" w:rsidP="00D764AE">
      <w:pPr>
        <w:pStyle w:val="NoSpacing"/>
        <w:numPr>
          <w:ilvl w:val="0"/>
          <w:numId w:val="4"/>
        </w:numPr>
      </w:pPr>
      <w:r>
        <w:t>What do you think your current grade is in the course?  How does this compare with the goal you set in your Math Autobiography?</w:t>
      </w:r>
    </w:p>
    <w:p w:rsidR="00D764AE" w:rsidRDefault="00D764AE" w:rsidP="00D764AE">
      <w:pPr>
        <w:pStyle w:val="NoSpacing"/>
      </w:pPr>
    </w:p>
    <w:p w:rsidR="00D764AE" w:rsidRDefault="00D764AE" w:rsidP="00D764AE">
      <w:pPr>
        <w:pStyle w:val="NoSpacing"/>
      </w:pPr>
    </w:p>
    <w:p w:rsidR="00D764AE" w:rsidRDefault="00D764AE" w:rsidP="00D764AE">
      <w:pPr>
        <w:pStyle w:val="NoSpacing"/>
        <w:numPr>
          <w:ilvl w:val="0"/>
          <w:numId w:val="4"/>
        </w:numPr>
      </w:pPr>
      <w:r>
        <w:t>There have been four readings on learning skills in this course.</w:t>
      </w:r>
      <w:r w:rsidRPr="00045486">
        <w:t xml:space="preserve"> </w:t>
      </w:r>
      <w:r>
        <w:t xml:space="preserve">  Write a brief summary of what you think is the most important and most useful information from these readings.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764AE" w:rsidTr="005C75D8">
        <w:tc>
          <w:tcPr>
            <w:tcW w:w="4788" w:type="dxa"/>
          </w:tcPr>
          <w:p w:rsidR="00D764AE" w:rsidRDefault="00D764AE" w:rsidP="00D764AE">
            <w:pPr>
              <w:pStyle w:val="NoSpacing"/>
              <w:numPr>
                <w:ilvl w:val="0"/>
                <w:numId w:val="3"/>
              </w:numPr>
            </w:pPr>
            <w:r>
              <w:t>Brain-Based Reading I</w:t>
            </w:r>
          </w:p>
          <w:p w:rsidR="00D764AE" w:rsidRDefault="00D764AE" w:rsidP="00D764AE">
            <w:pPr>
              <w:pStyle w:val="NoSpacing"/>
              <w:numPr>
                <w:ilvl w:val="0"/>
                <w:numId w:val="3"/>
              </w:numPr>
            </w:pPr>
            <w:r>
              <w:t>Brain-Based Reading II</w:t>
            </w:r>
          </w:p>
        </w:tc>
        <w:tc>
          <w:tcPr>
            <w:tcW w:w="4788" w:type="dxa"/>
          </w:tcPr>
          <w:p w:rsidR="00D764AE" w:rsidRDefault="00D764AE" w:rsidP="00D764AE">
            <w:pPr>
              <w:pStyle w:val="NoSpacing"/>
              <w:numPr>
                <w:ilvl w:val="0"/>
                <w:numId w:val="3"/>
              </w:numPr>
            </w:pPr>
            <w:r>
              <w:t>Studying and Learning Math</w:t>
            </w:r>
          </w:p>
          <w:p w:rsidR="00D764AE" w:rsidRDefault="00D764AE" w:rsidP="00D764AE">
            <w:pPr>
              <w:pStyle w:val="NoSpacing"/>
              <w:numPr>
                <w:ilvl w:val="0"/>
                <w:numId w:val="3"/>
              </w:numPr>
            </w:pPr>
            <w:r>
              <w:t>Self-Assessment</w:t>
            </w:r>
          </w:p>
        </w:tc>
      </w:tr>
    </w:tbl>
    <w:p w:rsidR="00D764AE" w:rsidRDefault="00D764AE" w:rsidP="00DD4DB5">
      <w:pPr>
        <w:pStyle w:val="NoSpacing"/>
        <w:rPr>
          <w:b/>
        </w:rPr>
      </w:pPr>
    </w:p>
    <w:p w:rsidR="00D764AE" w:rsidRDefault="00D764AE" w:rsidP="00DD4DB5">
      <w:pPr>
        <w:pStyle w:val="NoSpacing"/>
        <w:rPr>
          <w:b/>
        </w:rPr>
      </w:pPr>
    </w:p>
    <w:p w:rsidR="00D764AE" w:rsidRDefault="00D764AE" w:rsidP="00DD4DB5">
      <w:pPr>
        <w:pStyle w:val="NoSpacing"/>
        <w:rPr>
          <w:b/>
        </w:rPr>
      </w:pPr>
    </w:p>
    <w:p w:rsidR="00D764AE" w:rsidRDefault="00D764AE" w:rsidP="00DD4DB5">
      <w:pPr>
        <w:pStyle w:val="NoSpacing"/>
        <w:rPr>
          <w:b/>
        </w:rPr>
      </w:pPr>
    </w:p>
    <w:p w:rsidR="00DD4DB5" w:rsidRDefault="00DD4DB5" w:rsidP="00DD4DB5">
      <w:pPr>
        <w:pStyle w:val="NoSpacing"/>
      </w:pPr>
      <w:r>
        <w:rPr>
          <w:b/>
        </w:rPr>
        <w:t>Thinking Ahead about Polynomials</w:t>
      </w:r>
    </w:p>
    <w:p w:rsidR="00DD4DB5" w:rsidRDefault="00DD4DB5" w:rsidP="00DD4DB5">
      <w:pPr>
        <w:pStyle w:val="NoSpacing"/>
      </w:pPr>
      <w:r>
        <w:t>For your next class, you will be expected to understand the vocabulary and concepts used in the questions listed below from your textbook.  To learn this material, read pp. 385-389 of your text.  Most of the answers to the questions are in your book.  Those that aren’t will be posted on your instructor’s website.  If you need help with this material, see your instructor or visit the Algebra Alcove.</w:t>
      </w:r>
    </w:p>
    <w:p w:rsidR="00DD4DB5" w:rsidRDefault="00DD4DB5" w:rsidP="00DD4DB5">
      <w:pPr>
        <w:pStyle w:val="NoSpacing"/>
      </w:pPr>
    </w:p>
    <w:p w:rsidR="00271F77" w:rsidRPr="00271F77" w:rsidRDefault="00025962" w:rsidP="007C5A90">
      <w:pPr>
        <w:pStyle w:val="NoSpacing"/>
      </w:pPr>
      <w:r>
        <w:t>p. 437</w:t>
      </w:r>
      <w:r w:rsidR="00DD4DB5">
        <w:t>:  # 1-17, 19, 21, 31, 33, 35</w:t>
      </w:r>
    </w:p>
    <w:sectPr w:rsidR="00271F77" w:rsidRPr="00271F77" w:rsidSect="006565D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24" w:rsidRDefault="00A05224" w:rsidP="00A05224">
      <w:pPr>
        <w:spacing w:after="0" w:line="240" w:lineRule="auto"/>
      </w:pPr>
      <w:r>
        <w:separator/>
      </w:r>
    </w:p>
  </w:endnote>
  <w:endnote w:type="continuationSeparator" w:id="0">
    <w:p w:rsidR="00A05224" w:rsidRDefault="00A05224" w:rsidP="00A05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24" w:rsidRDefault="00A05224" w:rsidP="00A05224">
      <w:pPr>
        <w:spacing w:after="0" w:line="240" w:lineRule="auto"/>
      </w:pPr>
      <w:r>
        <w:separator/>
      </w:r>
    </w:p>
  </w:footnote>
  <w:footnote w:type="continuationSeparator" w:id="0">
    <w:p w:rsidR="00A05224" w:rsidRDefault="00A05224" w:rsidP="00A05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24" w:rsidRDefault="00A05224">
    <w:pPr>
      <w:pStyle w:val="Header"/>
    </w:pPr>
    <w:r>
      <w:t>TRS 82</w:t>
    </w:r>
    <w:r>
      <w:ptab w:relativeTo="margin" w:alignment="center" w:leader="none"/>
    </w:r>
    <w:r>
      <w:t>Day 21 Homework</w:t>
    </w:r>
    <w:r>
      <w:ptab w:relativeTo="margin" w:alignment="right" w:leader="none"/>
    </w:r>
    <w:r>
      <w:t>Name: 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F76B8"/>
    <w:multiLevelType w:val="hybridMultilevel"/>
    <w:tmpl w:val="9E5E2D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66005D0"/>
    <w:multiLevelType w:val="hybridMultilevel"/>
    <w:tmpl w:val="3D3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0284F"/>
    <w:multiLevelType w:val="hybridMultilevel"/>
    <w:tmpl w:val="17E64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5B46E6"/>
    <w:multiLevelType w:val="hybridMultilevel"/>
    <w:tmpl w:val="5A5A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5A90"/>
    <w:rsid w:val="00025962"/>
    <w:rsid w:val="000C6394"/>
    <w:rsid w:val="00110A44"/>
    <w:rsid w:val="00207B31"/>
    <w:rsid w:val="00212B4E"/>
    <w:rsid w:val="00271F77"/>
    <w:rsid w:val="0028542C"/>
    <w:rsid w:val="002F188C"/>
    <w:rsid w:val="003401E0"/>
    <w:rsid w:val="005908DB"/>
    <w:rsid w:val="006565DA"/>
    <w:rsid w:val="007C5A90"/>
    <w:rsid w:val="00813B9A"/>
    <w:rsid w:val="00840792"/>
    <w:rsid w:val="008B4188"/>
    <w:rsid w:val="00912A78"/>
    <w:rsid w:val="00941856"/>
    <w:rsid w:val="009A6970"/>
    <w:rsid w:val="00A05224"/>
    <w:rsid w:val="00B82B7C"/>
    <w:rsid w:val="00BE3D1F"/>
    <w:rsid w:val="00C01C00"/>
    <w:rsid w:val="00C35290"/>
    <w:rsid w:val="00D764AE"/>
    <w:rsid w:val="00DB5781"/>
    <w:rsid w:val="00DD4DB5"/>
    <w:rsid w:val="00E24442"/>
    <w:rsid w:val="00E56D7F"/>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84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92"/>
    <w:rPr>
      <w:rFonts w:ascii="Tahoma" w:hAnsi="Tahoma" w:cs="Tahoma"/>
      <w:sz w:val="16"/>
      <w:szCs w:val="16"/>
    </w:rPr>
  </w:style>
  <w:style w:type="character" w:styleId="PlaceholderText">
    <w:name w:val="Placeholder Text"/>
    <w:basedOn w:val="DefaultParagraphFont"/>
    <w:uiPriority w:val="99"/>
    <w:semiHidden/>
    <w:rsid w:val="00DD4DB5"/>
    <w:rPr>
      <w:color w:val="808080"/>
    </w:rPr>
  </w:style>
  <w:style w:type="table" w:styleId="TableGrid">
    <w:name w:val="Table Grid"/>
    <w:basedOn w:val="TableNormal"/>
    <w:uiPriority w:val="59"/>
    <w:rsid w:val="00D76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52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224"/>
  </w:style>
  <w:style w:type="paragraph" w:styleId="Footer">
    <w:name w:val="footer"/>
    <w:basedOn w:val="Normal"/>
    <w:link w:val="FooterChar"/>
    <w:uiPriority w:val="99"/>
    <w:semiHidden/>
    <w:unhideWhenUsed/>
    <w:rsid w:val="00A05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2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dcterms:created xsi:type="dcterms:W3CDTF">2010-02-08T20:41:00Z</dcterms:created>
  <dcterms:modified xsi:type="dcterms:W3CDTF">2011-06-02T17:29:00Z</dcterms:modified>
</cp:coreProperties>
</file>