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Pr="00D26D20" w:rsidRDefault="00D26D20" w:rsidP="00D26D20">
      <w:pPr>
        <w:pStyle w:val="NoSpacing"/>
        <w:rPr>
          <w:b/>
        </w:rPr>
      </w:pPr>
      <w:r>
        <w:rPr>
          <w:b/>
        </w:rPr>
        <w:t>TRS 82 Day 4 Homework</w:t>
      </w:r>
    </w:p>
    <w:p w:rsidR="00D26D20" w:rsidRDefault="00D26D20" w:rsidP="00D26D20">
      <w:pPr>
        <w:pStyle w:val="NoSpacing"/>
      </w:pPr>
    </w:p>
    <w:p w:rsidR="00D26D20" w:rsidRDefault="00D26D20" w:rsidP="00CC4BFD">
      <w:pPr>
        <w:pStyle w:val="NoSpacing"/>
      </w:pPr>
      <w:r>
        <w:rPr>
          <w:b/>
        </w:rPr>
        <w:t xml:space="preserve">Thinking Ahead about Fractions </w:t>
      </w:r>
      <w:r>
        <w:t xml:space="preserve">– You should understand these questions fully before the next class.  </w:t>
      </w:r>
    </w:p>
    <w:p w:rsidR="00D26D20" w:rsidRDefault="00D26D20" w:rsidP="00D26D20">
      <w:pPr>
        <w:pStyle w:val="NoSpacing"/>
      </w:pPr>
    </w:p>
    <w:p w:rsidR="00D26D20" w:rsidRDefault="00D26D20" w:rsidP="00D26D20">
      <w:pPr>
        <w:pStyle w:val="NoSpacing"/>
        <w:numPr>
          <w:ilvl w:val="0"/>
          <w:numId w:val="4"/>
        </w:numPr>
      </w:pPr>
      <w:r>
        <w:t>Write “</w:t>
      </w:r>
      <w:r>
        <w:rPr>
          <w:i/>
        </w:rPr>
        <w:t xml:space="preserve">numerator” </w:t>
      </w:r>
      <w:r w:rsidRPr="00DC0A59">
        <w:t>and</w:t>
      </w:r>
      <w:r>
        <w:rPr>
          <w:i/>
        </w:rPr>
        <w:t xml:space="preserve"> “denominator” </w:t>
      </w:r>
      <w:r w:rsidRPr="00DC0A59">
        <w:t>in the correct places</w:t>
      </w:r>
      <w:r>
        <w:t xml:space="preserve"> in the fraction</w:t>
      </w:r>
      <w:r w:rsidRPr="00DC0A59">
        <w:t xml:space="preserve"> below</w:t>
      </w:r>
      <w:r>
        <w:rPr>
          <w:i/>
        </w:rPr>
        <w:t>.</w:t>
      </w:r>
    </w:p>
    <w:p w:rsidR="00D26D20" w:rsidRDefault="004B2308" w:rsidP="00D26D20">
      <w:pPr>
        <w:pStyle w:val="NoSpacing"/>
      </w:pPr>
      <w:r>
        <w:rPr>
          <w:noProof/>
        </w:rPr>
        <w:pict>
          <v:shapetype id="_x0000_t202" coordsize="21600,21600" o:spt="202" path="m,l,21600r21600,l21600,xe">
            <v:stroke joinstyle="miter"/>
            <v:path gradientshapeok="t" o:connecttype="rect"/>
          </v:shapetype>
          <v:shape id="_x0000_s1028" type="#_x0000_t202" style="position:absolute;margin-left:140.25pt;margin-top:8.7pt;width:151.5pt;height:27pt;z-index:251660288">
            <v:textbox>
              <w:txbxContent>
                <w:p w:rsidR="00D26D20" w:rsidRPr="009F67FD" w:rsidRDefault="009F67FD" w:rsidP="00D26D20">
                  <w:pPr>
                    <w:rPr>
                      <w:i/>
                    </w:rPr>
                  </w:pPr>
                  <w:proofErr w:type="gramStart"/>
                  <w:r w:rsidRPr="009F67FD">
                    <w:rPr>
                      <w:i/>
                    </w:rPr>
                    <w:t>numerator</w:t>
                  </w:r>
                  <w:proofErr w:type="gramEnd"/>
                </w:p>
              </w:txbxContent>
            </v:textbox>
          </v:shape>
        </w:pict>
      </w:r>
    </w:p>
    <w:p w:rsidR="00D26D20" w:rsidRDefault="00D26D20" w:rsidP="00D26D20">
      <w:pPr>
        <w:pStyle w:val="NoSpacing"/>
        <w:ind w:left="1440"/>
      </w:pPr>
    </w:p>
    <w:p w:rsidR="00D26D20" w:rsidRDefault="00D26D20" w:rsidP="00D26D20">
      <w:pPr>
        <w:pStyle w:val="NoSpacing"/>
        <w:ind w:left="1440" w:firstLine="720"/>
      </w:pPr>
      <w:r>
        <w:t>__________________________________</w:t>
      </w:r>
    </w:p>
    <w:p w:rsidR="00D26D20" w:rsidRDefault="004B2308" w:rsidP="00D26D20">
      <w:pPr>
        <w:pStyle w:val="NoSpacing"/>
      </w:pPr>
      <w:r>
        <w:rPr>
          <w:noProof/>
        </w:rPr>
        <w:pict>
          <v:shape id="_x0000_s1029" type="#_x0000_t202" style="position:absolute;margin-left:140.25pt;margin-top:4.05pt;width:151.5pt;height:27pt;z-index:251661312">
            <v:textbox>
              <w:txbxContent>
                <w:p w:rsidR="00D26D20" w:rsidRPr="009F67FD" w:rsidRDefault="009F67FD" w:rsidP="00D26D20">
                  <w:pPr>
                    <w:rPr>
                      <w:i/>
                    </w:rPr>
                  </w:pPr>
                  <w:proofErr w:type="gramStart"/>
                  <w:r>
                    <w:rPr>
                      <w:i/>
                    </w:rPr>
                    <w:t>denominator</w:t>
                  </w:r>
                  <w:proofErr w:type="gramEnd"/>
                </w:p>
              </w:txbxContent>
            </v:textbox>
          </v:shape>
        </w:pict>
      </w:r>
    </w:p>
    <w:p w:rsidR="00D26D20" w:rsidRDefault="00D26D20" w:rsidP="00D26D20">
      <w:pPr>
        <w:pStyle w:val="NoSpacing"/>
      </w:pPr>
    </w:p>
    <w:p w:rsidR="00D26D20" w:rsidRDefault="00D26D20" w:rsidP="00D26D20">
      <w:pPr>
        <w:pStyle w:val="NoSpacing"/>
      </w:pPr>
      <w:r>
        <w:tab/>
      </w:r>
      <w:r>
        <w:tab/>
      </w:r>
      <w:r>
        <w:tab/>
      </w:r>
    </w:p>
    <w:p w:rsidR="00D26D20" w:rsidRDefault="00D26D20" w:rsidP="00D26D20">
      <w:pPr>
        <w:pStyle w:val="NoSpacing"/>
        <w:numPr>
          <w:ilvl w:val="0"/>
          <w:numId w:val="4"/>
        </w:numPr>
      </w:pPr>
      <w:r>
        <w:t>Complete each statement below with the appropriate symbol:  &gt; (greater than), &lt; (less than), =.  Note:  After this assignment, you will be expected to recognize and understand the &gt; and &lt; symbols.</w:t>
      </w:r>
    </w:p>
    <w:p w:rsidR="00D26D20" w:rsidRPr="0059166B" w:rsidRDefault="004B2308" w:rsidP="00D26D20">
      <w:pPr>
        <w:pStyle w:val="NoSpacing"/>
        <w:numPr>
          <w:ilvl w:val="1"/>
          <w:numId w:val="2"/>
        </w:numPr>
      </w:pPr>
      <m:oMath>
        <m:f>
          <m:fPr>
            <m:ctrlPr>
              <w:rPr>
                <w:rFonts w:ascii="Cambria Math" w:hAnsi="Cambria Math"/>
                <w:i/>
              </w:rPr>
            </m:ctrlPr>
          </m:fPr>
          <m:num>
            <m:r>
              <w:rPr>
                <w:rFonts w:ascii="Cambria Math" w:hAnsi="Cambria Math"/>
              </w:rPr>
              <m:t>12</m:t>
            </m:r>
          </m:num>
          <m:den>
            <m:r>
              <w:rPr>
                <w:rFonts w:ascii="Cambria Math" w:hAnsi="Cambria Math"/>
              </w:rPr>
              <m:t xml:space="preserve">19 </m:t>
            </m:r>
          </m:den>
        </m:f>
      </m:oMath>
      <w:r w:rsidR="00D26D20">
        <w:rPr>
          <w:rFonts w:eastAsiaTheme="minorEastAsia"/>
        </w:rPr>
        <w:t xml:space="preserve">  _____</w:t>
      </w:r>
      <w:r w:rsidR="00925FE7">
        <w:rPr>
          <w:rFonts w:eastAsiaTheme="minorEastAsia"/>
        </w:rPr>
        <w:t>&lt;</w:t>
      </w:r>
      <w:r w:rsidR="00D26D20">
        <w:rPr>
          <w:rFonts w:eastAsiaTheme="minorEastAsia"/>
        </w:rPr>
        <w:t>_______ 1</w:t>
      </w:r>
    </w:p>
    <w:p w:rsidR="00D26D20" w:rsidRDefault="00D26D20" w:rsidP="00D26D20">
      <w:pPr>
        <w:pStyle w:val="NoSpacing"/>
        <w:ind w:left="720"/>
      </w:pPr>
    </w:p>
    <w:p w:rsidR="00D26D20" w:rsidRDefault="004B2308" w:rsidP="00D26D20">
      <w:pPr>
        <w:pStyle w:val="NoSpacing"/>
        <w:numPr>
          <w:ilvl w:val="1"/>
          <w:numId w:val="2"/>
        </w:numPr>
        <w:rPr>
          <w:rFonts w:eastAsiaTheme="minorEastAsia"/>
        </w:rPr>
      </w:pPr>
      <m:oMath>
        <m:f>
          <m:fPr>
            <m:ctrlPr>
              <w:rPr>
                <w:rFonts w:ascii="Cambria Math" w:hAnsi="Cambria Math"/>
                <w:i/>
              </w:rPr>
            </m:ctrlPr>
          </m:fPr>
          <m:num>
            <m:r>
              <w:rPr>
                <w:rFonts w:ascii="Cambria Math" w:hAnsi="Cambria Math"/>
              </w:rPr>
              <m:t>14</m:t>
            </m:r>
          </m:num>
          <m:den>
            <m:r>
              <w:rPr>
                <w:rFonts w:ascii="Cambria Math" w:hAnsi="Cambria Math"/>
              </w:rPr>
              <m:t>14</m:t>
            </m:r>
          </m:den>
        </m:f>
      </m:oMath>
      <w:r w:rsidR="00D26D20">
        <w:rPr>
          <w:rFonts w:eastAsiaTheme="minorEastAsia"/>
        </w:rPr>
        <w:t xml:space="preserve"> _______</w:t>
      </w:r>
      <w:r w:rsidR="00925FE7">
        <w:rPr>
          <w:rFonts w:eastAsiaTheme="minorEastAsia"/>
        </w:rPr>
        <w:t>=</w:t>
      </w:r>
      <w:r w:rsidR="00D26D20">
        <w:rPr>
          <w:rFonts w:eastAsiaTheme="minorEastAsia"/>
        </w:rPr>
        <w:t>______ 1</w:t>
      </w:r>
    </w:p>
    <w:p w:rsidR="00D26D20" w:rsidRPr="0059166B" w:rsidRDefault="00D26D20" w:rsidP="00D26D20">
      <w:pPr>
        <w:pStyle w:val="NoSpacing"/>
        <w:rPr>
          <w:rFonts w:eastAsiaTheme="minorEastAsia"/>
        </w:rPr>
      </w:pPr>
    </w:p>
    <w:p w:rsidR="00D26D20" w:rsidRPr="0059166B" w:rsidRDefault="004B2308" w:rsidP="00D26D20">
      <w:pPr>
        <w:pStyle w:val="NoSpacing"/>
        <w:numPr>
          <w:ilvl w:val="1"/>
          <w:numId w:val="2"/>
        </w:numPr>
        <w:rPr>
          <w:rFonts w:eastAsiaTheme="minorEastAsia"/>
        </w:rPr>
      </w:pPr>
      <m:oMath>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3</m:t>
            </m:r>
          </m:den>
        </m:f>
      </m:oMath>
      <w:r w:rsidR="00D26D20">
        <w:rPr>
          <w:rFonts w:eastAsiaTheme="minorEastAsia"/>
        </w:rPr>
        <w:t xml:space="preserve"> _________</w:t>
      </w:r>
      <w:r w:rsidR="00925FE7">
        <w:rPr>
          <w:rFonts w:eastAsiaTheme="minorEastAsia"/>
        </w:rPr>
        <w:t>&gt;</w:t>
      </w:r>
      <w:r w:rsidR="00D26D20">
        <w:rPr>
          <w:rFonts w:eastAsiaTheme="minorEastAsia"/>
        </w:rPr>
        <w:t>_____ 1</w:t>
      </w:r>
    </w:p>
    <w:p w:rsidR="00D26D20" w:rsidRDefault="00D26D20" w:rsidP="00D26D20">
      <w:pPr>
        <w:pStyle w:val="NoSpacing"/>
      </w:pPr>
    </w:p>
    <w:p w:rsidR="00D26D20" w:rsidRPr="00CC4BFD" w:rsidRDefault="00D26D20" w:rsidP="00CC4BFD">
      <w:pPr>
        <w:pStyle w:val="NoSpacing"/>
        <w:numPr>
          <w:ilvl w:val="0"/>
          <w:numId w:val="4"/>
        </w:numPr>
        <w:rPr>
          <w:i/>
        </w:rPr>
      </w:pPr>
      <w:r>
        <w:t xml:space="preserve">Write a fraction that is greater than 1 with a denominator of 6.  </w:t>
      </w:r>
      <w:r w:rsidR="00CC4BFD" w:rsidRPr="00CC4BFD">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DSMT4" ShapeID="_x0000_i1025" DrawAspect="Content" ObjectID="_1324204476" r:id="rId6"/>
        </w:object>
      </w:r>
      <w:r w:rsidR="00CC4BFD">
        <w:t>(</w:t>
      </w:r>
      <w:r w:rsidR="00CC4BFD" w:rsidRPr="00CC4BFD">
        <w:rPr>
          <w:i/>
        </w:rPr>
        <w:t>as long as numerator is greater than 6)</w:t>
      </w:r>
    </w:p>
    <w:p w:rsidR="00D26D20" w:rsidRDefault="00D26D20" w:rsidP="00D26D20">
      <w:pPr>
        <w:pStyle w:val="NoSpacing"/>
      </w:pPr>
    </w:p>
    <w:p w:rsidR="00D26D20" w:rsidRPr="00CC4BFD" w:rsidRDefault="00D26D20" w:rsidP="00D26D20">
      <w:pPr>
        <w:pStyle w:val="NoSpacing"/>
        <w:numPr>
          <w:ilvl w:val="0"/>
          <w:numId w:val="4"/>
        </w:numPr>
        <w:rPr>
          <w:i/>
        </w:rPr>
      </w:pPr>
      <w:r>
        <w:t xml:space="preserve">Write a fraction that is equal to 1 with a denominator that is a factor of 32. </w:t>
      </w:r>
      <w:r w:rsidR="00CC4BFD" w:rsidRPr="00CC4BFD">
        <w:rPr>
          <w:i/>
          <w:position w:val="-24"/>
        </w:rPr>
        <w:object w:dxaOrig="220" w:dyaOrig="620">
          <v:shape id="_x0000_i1027" type="#_x0000_t75" style="width:11.25pt;height:30.75pt" o:ole="">
            <v:imagedata r:id="rId7" o:title=""/>
          </v:shape>
          <o:OLEObject Type="Embed" ProgID="Equation.DSMT4" ShapeID="_x0000_i1027" DrawAspect="Content" ObjectID="_1324204477" r:id="rId8"/>
        </w:object>
      </w:r>
      <w:r w:rsidR="00CC4BFD" w:rsidRPr="00CC4BFD">
        <w:rPr>
          <w:i/>
        </w:rPr>
        <w:t>(as long as numerator and denominator are the same)</w:t>
      </w:r>
    </w:p>
    <w:p w:rsidR="00D26D20" w:rsidRDefault="00D26D20" w:rsidP="00D26D20">
      <w:pPr>
        <w:pStyle w:val="NoSpacing"/>
      </w:pPr>
    </w:p>
    <w:p w:rsidR="00D26D20" w:rsidRPr="00CC4BFD" w:rsidRDefault="00D26D20" w:rsidP="00D26D20">
      <w:pPr>
        <w:pStyle w:val="NoSpacing"/>
        <w:numPr>
          <w:ilvl w:val="0"/>
          <w:numId w:val="4"/>
        </w:numPr>
        <w:rPr>
          <w:i/>
        </w:rPr>
      </w:pPr>
      <w:r>
        <w:t>Write a fraction this less than 1 with a denominator that is a multiple of 4</w:t>
      </w:r>
      <w:r w:rsidRPr="00CC4BFD">
        <w:rPr>
          <w:i/>
        </w:rPr>
        <w:t xml:space="preserve">.  </w:t>
      </w:r>
      <w:r w:rsidR="00CC4BFD" w:rsidRPr="00CC4BFD">
        <w:rPr>
          <w:i/>
          <w:position w:val="-24"/>
        </w:rPr>
        <w:object w:dxaOrig="240" w:dyaOrig="620">
          <v:shape id="_x0000_i1026" type="#_x0000_t75" style="width:12pt;height:30.75pt" o:ole="">
            <v:imagedata r:id="rId9" o:title=""/>
          </v:shape>
          <o:OLEObject Type="Embed" ProgID="Equation.DSMT4" ShapeID="_x0000_i1026" DrawAspect="Content" ObjectID="_1324204478" r:id="rId10"/>
        </w:object>
      </w:r>
      <w:r w:rsidR="00CC4BFD" w:rsidRPr="00CC4BFD">
        <w:rPr>
          <w:i/>
        </w:rPr>
        <w:t>(as long as numerator is less than the denominator)</w:t>
      </w:r>
    </w:p>
    <w:p w:rsidR="00D26D20" w:rsidRDefault="00D26D20" w:rsidP="00D26D20">
      <w:pPr>
        <w:pStyle w:val="NoSpacing"/>
        <w:ind w:left="360"/>
      </w:pPr>
    </w:p>
    <w:p w:rsidR="00D26D20" w:rsidRDefault="00D26D20" w:rsidP="00D26D20">
      <w:pPr>
        <w:pStyle w:val="NoSpacing"/>
        <w:numPr>
          <w:ilvl w:val="0"/>
          <w:numId w:val="4"/>
        </w:numPr>
      </w:pPr>
      <w:r>
        <w:t>Explain how you can tell if a fraction is greater than, less than or equal to 1.  Use complete sentences and the appropriate vocabulary of numerator and denominator.</w:t>
      </w:r>
    </w:p>
    <w:p w:rsidR="00D26D20" w:rsidRPr="00CC4BFD" w:rsidRDefault="00CC4BFD" w:rsidP="00CC4BFD">
      <w:pPr>
        <w:pStyle w:val="NoSpacing"/>
        <w:ind w:left="720"/>
        <w:rPr>
          <w:i/>
        </w:rPr>
      </w:pPr>
      <w:r w:rsidRPr="00CC4BFD">
        <w:rPr>
          <w:i/>
        </w:rPr>
        <w:t>When the numerator is greater than the denominator in magnitude, then the fraction is greater than 1.  If the denominator is greater than the numerator, then the fraction is less than 1.  If the numerator and denominator have the same factor, then the fraction is equal to 1.</w:t>
      </w:r>
    </w:p>
    <w:p w:rsidR="00D26D20" w:rsidRDefault="00D26D20" w:rsidP="00D26D20">
      <w:pPr>
        <w:pStyle w:val="NoSpacing"/>
      </w:pPr>
    </w:p>
    <w:p w:rsidR="00D26D20" w:rsidRDefault="00D26D20" w:rsidP="00D26D20">
      <w:pPr>
        <w:pStyle w:val="NoSpacing"/>
      </w:pPr>
    </w:p>
    <w:p w:rsidR="00D26D20" w:rsidRDefault="00D26D20" w:rsidP="00D26D20">
      <w:pPr>
        <w:pStyle w:val="NoSpacing"/>
        <w:numPr>
          <w:ilvl w:val="0"/>
          <w:numId w:val="4"/>
        </w:numPr>
      </w:pPr>
      <w:r>
        <w:t xml:space="preserve">Write the number </w:t>
      </w:r>
      <w:r>
        <w:rPr>
          <w:i/>
        </w:rPr>
        <w:t xml:space="preserve">4 </w:t>
      </w:r>
      <w:r>
        <w:t xml:space="preserve"> as a fraction:</w:t>
      </w:r>
      <w:r w:rsidR="00C1778C">
        <w:t xml:space="preserve"> </w:t>
      </w:r>
      <w:r w:rsidR="00C1778C" w:rsidRPr="00C1778C">
        <w:rPr>
          <w:position w:val="-24"/>
        </w:rPr>
        <w:object w:dxaOrig="240" w:dyaOrig="620">
          <v:shape id="_x0000_i1028" type="#_x0000_t75" style="width:12pt;height:30.75pt" o:ole="">
            <v:imagedata r:id="rId11" o:title=""/>
          </v:shape>
          <o:OLEObject Type="Embed" ProgID="Equation.DSMT4" ShapeID="_x0000_i1028" DrawAspect="Content" ObjectID="_1324204479" r:id="rId12"/>
        </w:object>
      </w:r>
    </w:p>
    <w:p w:rsidR="00D26D20" w:rsidRDefault="00D26D20" w:rsidP="00D26D20">
      <w:pPr>
        <w:pStyle w:val="NoSpacing"/>
      </w:pPr>
    </w:p>
    <w:p w:rsidR="00D26D20" w:rsidRDefault="00D26D20" w:rsidP="00D26D20">
      <w:pPr>
        <w:pStyle w:val="NoSpacing"/>
      </w:pPr>
    </w:p>
    <w:p w:rsidR="00D26D20" w:rsidRDefault="00D26D20" w:rsidP="00D26D20">
      <w:pPr>
        <w:pStyle w:val="NoSpacing"/>
      </w:pPr>
    </w:p>
    <w:p w:rsidR="00D26D20" w:rsidRDefault="00D26D20" w:rsidP="00D26D20">
      <w:pPr>
        <w:pStyle w:val="NoSpacing"/>
        <w:numPr>
          <w:ilvl w:val="0"/>
          <w:numId w:val="4"/>
        </w:numPr>
        <w:rPr>
          <w:rFonts w:eastAsiaTheme="minorEastAsia"/>
        </w:rPr>
      </w:pPr>
      <w:r>
        <w:t xml:space="preserve">The fraction </w:t>
      </w:r>
      <m:oMath>
        <m:f>
          <m:fPr>
            <m:ctrlPr>
              <w:rPr>
                <w:rFonts w:ascii="Cambria Math" w:hAnsi="Cambria Math"/>
                <w:i/>
              </w:rPr>
            </m:ctrlPr>
          </m:fPr>
          <m:num>
            <m:r>
              <w:rPr>
                <w:rFonts w:ascii="Cambria Math" w:hAnsi="Cambria Math"/>
              </w:rPr>
              <m:t>12</m:t>
            </m:r>
          </m:num>
          <m:den>
            <m:r>
              <w:rPr>
                <w:rFonts w:ascii="Cambria Math" w:hAnsi="Cambria Math"/>
              </w:rPr>
              <m:t xml:space="preserve">19 </m:t>
            </m:r>
          </m:den>
        </m:f>
      </m:oMath>
      <w:r>
        <w:rPr>
          <w:rFonts w:eastAsiaTheme="minorEastAsia"/>
        </w:rPr>
        <w:t xml:space="preserve"> could be written as </w:t>
      </w:r>
      <w:proofErr w:type="gramStart"/>
      <w:r>
        <w:rPr>
          <w:rFonts w:eastAsiaTheme="minorEastAsia"/>
        </w:rPr>
        <w:t>…(</w:t>
      </w:r>
      <w:proofErr w:type="gramEnd"/>
      <w:r>
        <w:rPr>
          <w:rFonts w:eastAsiaTheme="minorEastAsia"/>
        </w:rPr>
        <w:t>Circle the best answer.)</w:t>
      </w:r>
    </w:p>
    <w:p w:rsidR="00D26D20" w:rsidRDefault="00D26D20" w:rsidP="00D26D20">
      <w:pPr>
        <w:pStyle w:val="NoSpacing"/>
        <w:numPr>
          <w:ilvl w:val="0"/>
          <w:numId w:val="6"/>
        </w:numPr>
        <w:rPr>
          <w:rFonts w:eastAsiaTheme="minorEastAsia"/>
        </w:rPr>
      </w:pPr>
      <w:r>
        <w:rPr>
          <w:rFonts w:eastAsiaTheme="minorEastAsia"/>
        </w:rPr>
        <w:t>12 x 19</w:t>
      </w:r>
    </w:p>
    <w:p w:rsidR="00D26D20" w:rsidRDefault="00D26D20" w:rsidP="00D26D20">
      <w:pPr>
        <w:pStyle w:val="NoSpacing"/>
        <w:numPr>
          <w:ilvl w:val="0"/>
          <w:numId w:val="6"/>
        </w:numPr>
        <w:rPr>
          <w:rFonts w:eastAsiaTheme="minorEastAsia"/>
        </w:rPr>
      </w:pPr>
      <w:r>
        <w:rPr>
          <w:rFonts w:eastAsiaTheme="minorEastAsia"/>
        </w:rPr>
        <w:t>19 x 12</w:t>
      </w:r>
    </w:p>
    <w:p w:rsidR="00D26D20" w:rsidRDefault="00D26D20" w:rsidP="00D26D20">
      <w:pPr>
        <w:pStyle w:val="NoSpacing"/>
        <w:numPr>
          <w:ilvl w:val="0"/>
          <w:numId w:val="6"/>
        </w:numPr>
        <w:rPr>
          <w:rFonts w:eastAsiaTheme="minorEastAsia"/>
        </w:rPr>
      </w:pPr>
      <w:r>
        <w:rPr>
          <w:rFonts w:eastAsiaTheme="minorEastAsia"/>
        </w:rPr>
        <w:t xml:space="preserve">19 </w:t>
      </w:r>
      <w:r>
        <w:rPr>
          <w:rFonts w:eastAsiaTheme="minorEastAsia" w:cs="Times New Roman"/>
        </w:rPr>
        <w:t>÷</w:t>
      </w:r>
      <w:r>
        <w:rPr>
          <w:rFonts w:eastAsiaTheme="minorEastAsia"/>
        </w:rPr>
        <w:t xml:space="preserve"> 12</w:t>
      </w:r>
    </w:p>
    <w:p w:rsidR="00D26D20" w:rsidRPr="00C1778C" w:rsidRDefault="00D26D20" w:rsidP="00D26D20">
      <w:pPr>
        <w:pStyle w:val="NoSpacing"/>
        <w:numPr>
          <w:ilvl w:val="0"/>
          <w:numId w:val="6"/>
        </w:numPr>
        <w:rPr>
          <w:rFonts w:eastAsiaTheme="minorEastAsia"/>
          <w:highlight w:val="yellow"/>
        </w:rPr>
      </w:pPr>
      <w:r w:rsidRPr="00C1778C">
        <w:rPr>
          <w:rFonts w:eastAsiaTheme="minorEastAsia"/>
          <w:highlight w:val="yellow"/>
        </w:rPr>
        <w:t xml:space="preserve">12 </w:t>
      </w:r>
      <w:r w:rsidRPr="00C1778C">
        <w:rPr>
          <w:rFonts w:eastAsiaTheme="minorEastAsia" w:cs="Times New Roman"/>
          <w:highlight w:val="yellow"/>
        </w:rPr>
        <w:t>÷</w:t>
      </w:r>
      <w:r w:rsidRPr="00C1778C">
        <w:rPr>
          <w:rFonts w:eastAsiaTheme="minorEastAsia"/>
          <w:highlight w:val="yellow"/>
        </w:rPr>
        <w:t xml:space="preserve"> 19</w:t>
      </w:r>
    </w:p>
    <w:p w:rsidR="00D26D20" w:rsidRPr="0059166B" w:rsidRDefault="00D26D20" w:rsidP="00D26D20">
      <w:pPr>
        <w:pStyle w:val="NoSpacing"/>
        <w:numPr>
          <w:ilvl w:val="0"/>
          <w:numId w:val="6"/>
        </w:numPr>
        <w:rPr>
          <w:rFonts w:eastAsiaTheme="minorEastAsia"/>
        </w:rPr>
      </w:pPr>
      <w:r>
        <w:rPr>
          <w:rFonts w:eastAsiaTheme="minorEastAsia"/>
        </w:rPr>
        <w:t>None of the above.</w:t>
      </w:r>
    </w:p>
    <w:p w:rsidR="00D26D20" w:rsidRDefault="00D26D20" w:rsidP="00D26D20">
      <w:pPr>
        <w:pStyle w:val="NoSpacing"/>
      </w:pPr>
    </w:p>
    <w:sectPr w:rsidR="00D26D20" w:rsidSect="00656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99F"/>
    <w:multiLevelType w:val="hybridMultilevel"/>
    <w:tmpl w:val="5B82DF32"/>
    <w:lvl w:ilvl="0" w:tplc="CAAE338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68722B"/>
    <w:multiLevelType w:val="hybridMultilevel"/>
    <w:tmpl w:val="CA20D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6B5C5E"/>
    <w:multiLevelType w:val="hybridMultilevel"/>
    <w:tmpl w:val="B5CAB6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5B5ADA"/>
    <w:multiLevelType w:val="hybridMultilevel"/>
    <w:tmpl w:val="3CEC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2B4969"/>
    <w:multiLevelType w:val="hybridMultilevel"/>
    <w:tmpl w:val="08F4D4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182093"/>
    <w:multiLevelType w:val="hybridMultilevel"/>
    <w:tmpl w:val="BFBE5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D20"/>
    <w:rsid w:val="000C6394"/>
    <w:rsid w:val="00110A44"/>
    <w:rsid w:val="003401E0"/>
    <w:rsid w:val="004B2308"/>
    <w:rsid w:val="006565DA"/>
    <w:rsid w:val="00813B9A"/>
    <w:rsid w:val="008B4188"/>
    <w:rsid w:val="00925FE7"/>
    <w:rsid w:val="00941856"/>
    <w:rsid w:val="009A6970"/>
    <w:rsid w:val="009F67FD"/>
    <w:rsid w:val="00B82B7C"/>
    <w:rsid w:val="00C1778C"/>
    <w:rsid w:val="00C35290"/>
    <w:rsid w:val="00CC4BFD"/>
    <w:rsid w:val="00D26D20"/>
    <w:rsid w:val="00D91FF1"/>
    <w:rsid w:val="00DB5781"/>
    <w:rsid w:val="00E0613A"/>
    <w:rsid w:val="00F7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pPr>
      <w:spacing w:after="0" w:line="240" w:lineRule="auto"/>
    </w:pPr>
  </w:style>
  <w:style w:type="paragraph" w:styleId="BalloonText">
    <w:name w:val="Balloon Text"/>
    <w:basedOn w:val="Normal"/>
    <w:link w:val="BalloonTextChar"/>
    <w:uiPriority w:val="99"/>
    <w:semiHidden/>
    <w:unhideWhenUsed/>
    <w:rsid w:val="00D26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20"/>
    <w:rPr>
      <w:rFonts w:ascii="Tahoma" w:hAnsi="Tahoma" w:cs="Tahoma"/>
      <w:sz w:val="16"/>
      <w:szCs w:val="16"/>
    </w:rPr>
  </w:style>
  <w:style w:type="paragraph" w:styleId="ListParagraph">
    <w:name w:val="List Paragraph"/>
    <w:basedOn w:val="Normal"/>
    <w:uiPriority w:val="34"/>
    <w:qFormat/>
    <w:rsid w:val="00D26D20"/>
    <w:pPr>
      <w:ind w:left="720"/>
      <w:contextualSpacing/>
    </w:pPr>
  </w:style>
  <w:style w:type="character" w:styleId="Hyperlink">
    <w:name w:val="Hyperlink"/>
    <w:basedOn w:val="DefaultParagraphFont"/>
    <w:uiPriority w:val="99"/>
    <w:unhideWhenUsed/>
    <w:rsid w:val="00D26D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240</Words>
  <Characters>1371</Characters>
  <Application>Microsoft Office Word</Application>
  <DocSecurity>0</DocSecurity>
  <Lines>11</Lines>
  <Paragraphs>3</Paragraphs>
  <ScaleCrop>false</ScaleCrop>
  <Company>Fort Lewis College</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5</cp:revision>
  <dcterms:created xsi:type="dcterms:W3CDTF">2010-01-05T20:40:00Z</dcterms:created>
  <dcterms:modified xsi:type="dcterms:W3CDTF">2010-01-05T20:48:00Z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