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6DD" w:rsidRDefault="009856DD" w:rsidP="009856DD">
      <w:pPr>
        <w:spacing w:line="195" w:lineRule="atLeast"/>
        <w:jc w:val="center"/>
        <w:rPr>
          <w:rFonts w:ascii="Arial" w:hAnsi="Arial" w:cs="Arial"/>
          <w:color w:val="000000"/>
          <w:sz w:val="18"/>
          <w:szCs w:val="18"/>
        </w:rPr>
      </w:pPr>
      <w:bookmarkStart w:id="0" w:name="_GoBack"/>
      <w:bookmarkEnd w:id="0"/>
      <w:r>
        <w:rPr>
          <w:rFonts w:ascii="Arial" w:hAnsi="Arial" w:cs="Arial"/>
          <w:noProof/>
          <w:color w:val="0066CC"/>
          <w:sz w:val="18"/>
          <w:szCs w:val="18"/>
        </w:rPr>
        <w:drawing>
          <wp:inline distT="0" distB="0" distL="0" distR="0">
            <wp:extent cx="1095375" cy="1638300"/>
            <wp:effectExtent l="19050" t="0" r="9525" b="0"/>
            <wp:docPr id="2" name="imgApplySlate" descr="https://www.chase.com/online/Special-Offers/images/131633_slate_cardVisa.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pplySlate" descr="https://www.chase.com/online/Special-Offers/images/131633_slate_cardVisa.jpg">
                      <a:hlinkClick r:id="rId6" tgtFrame="&quot;_blank&quot;"/>
                    </pic:cNvPr>
                    <pic:cNvPicPr>
                      <a:picLocks noChangeAspect="1" noChangeArrowheads="1"/>
                    </pic:cNvPicPr>
                  </pic:nvPicPr>
                  <pic:blipFill>
                    <a:blip r:embed="rId7" cstate="print"/>
                    <a:srcRect/>
                    <a:stretch>
                      <a:fillRect/>
                    </a:stretch>
                  </pic:blipFill>
                  <pic:spPr bwMode="auto">
                    <a:xfrm>
                      <a:off x="0" y="0"/>
                      <a:ext cx="1095375" cy="1638300"/>
                    </a:xfrm>
                    <a:prstGeom prst="rect">
                      <a:avLst/>
                    </a:prstGeom>
                    <a:noFill/>
                    <a:ln w="9525">
                      <a:noFill/>
                      <a:miter lim="800000"/>
                      <a:headEnd/>
                      <a:tailEnd/>
                    </a:ln>
                  </pic:spPr>
                </pic:pic>
              </a:graphicData>
            </a:graphic>
          </wp:inline>
        </w:drawing>
      </w:r>
    </w:p>
    <w:p w:rsidR="009856DD" w:rsidRDefault="009856DD" w:rsidP="009856DD">
      <w:pPr>
        <w:spacing w:line="195" w:lineRule="atLeast"/>
        <w:rPr>
          <w:rFonts w:ascii="Arial" w:hAnsi="Arial" w:cs="Arial"/>
          <w:color w:val="000000"/>
          <w:sz w:val="18"/>
          <w:szCs w:val="18"/>
        </w:rPr>
      </w:pPr>
      <w:r>
        <w:rPr>
          <w:rFonts w:ascii="Arial" w:hAnsi="Arial" w:cs="Arial"/>
          <w:color w:val="000000"/>
          <w:sz w:val="18"/>
          <w:szCs w:val="18"/>
        </w:rPr>
        <w:br/>
      </w:r>
    </w:p>
    <w:p w:rsidR="009856DD" w:rsidRDefault="009856DD" w:rsidP="009856DD">
      <w:pPr>
        <w:pStyle w:val="Heading3"/>
        <w:spacing w:before="0" w:beforeAutospacing="0" w:after="0" w:afterAutospacing="0" w:line="240" w:lineRule="atLeast"/>
        <w:jc w:val="center"/>
        <w:rPr>
          <w:rFonts w:ascii="Arial" w:hAnsi="Arial" w:cs="Arial"/>
          <w:color w:val="000000"/>
          <w:sz w:val="20"/>
          <w:szCs w:val="20"/>
        </w:rPr>
      </w:pPr>
      <w:r>
        <w:rPr>
          <w:rFonts w:ascii="Arial" w:hAnsi="Arial" w:cs="Arial"/>
          <w:color w:val="000000"/>
          <w:sz w:val="20"/>
          <w:szCs w:val="20"/>
        </w:rPr>
        <w:t>  </w:t>
      </w:r>
      <w:proofErr w:type="spellStart"/>
      <w:r>
        <w:rPr>
          <w:rFonts w:ascii="Arial" w:hAnsi="Arial" w:cs="Arial"/>
          <w:color w:val="000000"/>
          <w:sz w:val="20"/>
          <w:szCs w:val="20"/>
        </w:rPr>
        <w:t>Slate</w:t>
      </w:r>
      <w:r>
        <w:rPr>
          <w:rFonts w:ascii="Arial" w:hAnsi="Arial" w:cs="Arial"/>
          <w:b w:val="0"/>
          <w:bCs w:val="0"/>
          <w:color w:val="000000"/>
          <w:sz w:val="12"/>
          <w:szCs w:val="12"/>
          <w:vertAlign w:val="superscript"/>
        </w:rPr>
        <w:t>SM</w:t>
      </w:r>
      <w:proofErr w:type="spellEnd"/>
      <w:r>
        <w:rPr>
          <w:rStyle w:val="apple-converted-space"/>
          <w:rFonts w:ascii="Arial" w:hAnsi="Arial" w:cs="Arial"/>
          <w:color w:val="000000"/>
          <w:sz w:val="20"/>
          <w:szCs w:val="20"/>
        </w:rPr>
        <w:t> </w:t>
      </w:r>
      <w:r>
        <w:rPr>
          <w:rFonts w:ascii="Arial" w:hAnsi="Arial" w:cs="Arial"/>
          <w:color w:val="000000"/>
          <w:sz w:val="20"/>
          <w:szCs w:val="20"/>
        </w:rPr>
        <w:t>from Chase</w:t>
      </w:r>
    </w:p>
    <w:p w:rsidR="009856DD" w:rsidRDefault="009856DD" w:rsidP="00F41122">
      <w:pPr>
        <w:spacing w:line="195" w:lineRule="atLeast"/>
        <w:rPr>
          <w:rFonts w:ascii="Arial" w:hAnsi="Arial" w:cs="Arial"/>
          <w:color w:val="000000"/>
          <w:sz w:val="17"/>
          <w:szCs w:val="17"/>
        </w:rPr>
      </w:pPr>
      <w:r>
        <w:rPr>
          <w:rFonts w:ascii="Arial" w:hAnsi="Arial" w:cs="Arial"/>
          <w:color w:val="000000"/>
          <w:sz w:val="18"/>
          <w:szCs w:val="18"/>
        </w:rPr>
        <w:br/>
      </w:r>
      <w:r>
        <w:rPr>
          <w:rStyle w:val="Strong"/>
          <w:rFonts w:ascii="Arial" w:hAnsi="Arial" w:cs="Arial"/>
          <w:color w:val="000000"/>
          <w:sz w:val="17"/>
          <w:szCs w:val="17"/>
        </w:rPr>
        <w:t>0% Intro APR for up to 12 months</w:t>
      </w:r>
      <w:r>
        <w:rPr>
          <w:rFonts w:ascii="Arial" w:hAnsi="Arial" w:cs="Arial"/>
          <w:color w:val="000000"/>
          <w:sz w:val="12"/>
          <w:szCs w:val="12"/>
          <w:vertAlign w:val="superscript"/>
        </w:rPr>
        <w:t>†</w:t>
      </w:r>
    </w:p>
    <w:p w:rsidR="009856DD" w:rsidRDefault="009856DD" w:rsidP="009856DD">
      <w:pPr>
        <w:numPr>
          <w:ilvl w:val="0"/>
          <w:numId w:val="1"/>
        </w:numPr>
        <w:spacing w:line="195" w:lineRule="atLeast"/>
        <w:ind w:left="15" w:right="15"/>
        <w:rPr>
          <w:rFonts w:ascii="Arial" w:hAnsi="Arial" w:cs="Arial"/>
          <w:color w:val="000000"/>
          <w:sz w:val="17"/>
          <w:szCs w:val="17"/>
        </w:rPr>
      </w:pPr>
      <w:r>
        <w:rPr>
          <w:rFonts w:ascii="Arial" w:hAnsi="Arial" w:cs="Arial"/>
          <w:color w:val="000000"/>
          <w:sz w:val="17"/>
          <w:szCs w:val="17"/>
        </w:rPr>
        <w:t xml:space="preserve">Slate with </w:t>
      </w:r>
      <w:proofErr w:type="spellStart"/>
      <w:r>
        <w:rPr>
          <w:rFonts w:ascii="Arial" w:hAnsi="Arial" w:cs="Arial"/>
          <w:color w:val="000000"/>
          <w:sz w:val="17"/>
          <w:szCs w:val="17"/>
        </w:rPr>
        <w:t>Blueprint</w:t>
      </w:r>
      <w:r>
        <w:rPr>
          <w:rFonts w:ascii="Arial" w:hAnsi="Arial" w:cs="Arial"/>
          <w:color w:val="000000"/>
          <w:sz w:val="12"/>
          <w:szCs w:val="12"/>
          <w:vertAlign w:val="superscript"/>
        </w:rPr>
        <w:t>SM</w:t>
      </w:r>
      <w:proofErr w:type="spellEnd"/>
      <w:r>
        <w:rPr>
          <w:rStyle w:val="apple-converted-space"/>
          <w:rFonts w:ascii="Arial" w:hAnsi="Arial" w:cs="Arial"/>
          <w:color w:val="000000"/>
          <w:sz w:val="17"/>
          <w:szCs w:val="17"/>
        </w:rPr>
        <w:t> </w:t>
      </w:r>
      <w:r>
        <w:rPr>
          <w:rFonts w:ascii="Arial" w:hAnsi="Arial" w:cs="Arial"/>
          <w:color w:val="000000"/>
          <w:sz w:val="17"/>
          <w:szCs w:val="17"/>
        </w:rPr>
        <w:t>helps you pay down your balances faster and save on interest</w:t>
      </w:r>
    </w:p>
    <w:p w:rsidR="009856DD" w:rsidRDefault="009856DD" w:rsidP="009856DD">
      <w:pPr>
        <w:numPr>
          <w:ilvl w:val="0"/>
          <w:numId w:val="1"/>
        </w:numPr>
        <w:spacing w:line="195" w:lineRule="atLeast"/>
        <w:ind w:left="15" w:right="15"/>
        <w:rPr>
          <w:rFonts w:ascii="Arial" w:hAnsi="Arial" w:cs="Arial"/>
          <w:color w:val="000000"/>
          <w:sz w:val="17"/>
          <w:szCs w:val="17"/>
        </w:rPr>
      </w:pPr>
      <w:r>
        <w:rPr>
          <w:rFonts w:ascii="Arial" w:hAnsi="Arial" w:cs="Arial"/>
          <w:color w:val="000000"/>
          <w:sz w:val="17"/>
          <w:szCs w:val="17"/>
        </w:rPr>
        <w:t>Transfer your higher rate balances</w:t>
      </w:r>
    </w:p>
    <w:p w:rsidR="009856DD" w:rsidRDefault="009856DD" w:rsidP="009856DD">
      <w:pPr>
        <w:numPr>
          <w:ilvl w:val="0"/>
          <w:numId w:val="1"/>
        </w:numPr>
        <w:spacing w:line="195" w:lineRule="atLeast"/>
        <w:ind w:left="15" w:right="15"/>
        <w:rPr>
          <w:rFonts w:ascii="Arial" w:hAnsi="Arial" w:cs="Arial"/>
          <w:color w:val="000000"/>
          <w:sz w:val="17"/>
          <w:szCs w:val="17"/>
        </w:rPr>
      </w:pPr>
      <w:r>
        <w:rPr>
          <w:rFonts w:ascii="Arial" w:hAnsi="Arial" w:cs="Arial"/>
          <w:color w:val="000000"/>
          <w:sz w:val="17"/>
          <w:szCs w:val="17"/>
        </w:rPr>
        <w:t>Zero liability on unauthorized purchases</w:t>
      </w:r>
    </w:p>
    <w:p w:rsidR="009856DD" w:rsidRDefault="009856DD" w:rsidP="009856DD">
      <w:pPr>
        <w:numPr>
          <w:ilvl w:val="0"/>
          <w:numId w:val="1"/>
        </w:numPr>
        <w:spacing w:line="195" w:lineRule="atLeast"/>
        <w:ind w:left="15" w:right="15"/>
        <w:rPr>
          <w:rFonts w:ascii="Arial" w:hAnsi="Arial" w:cs="Arial"/>
          <w:color w:val="000000"/>
          <w:sz w:val="17"/>
          <w:szCs w:val="17"/>
        </w:rPr>
      </w:pPr>
      <w:r>
        <w:rPr>
          <w:rStyle w:val="Strong"/>
          <w:rFonts w:ascii="Arial" w:hAnsi="Arial" w:cs="Arial"/>
          <w:color w:val="000000"/>
          <w:sz w:val="17"/>
          <w:szCs w:val="17"/>
        </w:rPr>
        <w:t>No Annual Fee</w:t>
      </w:r>
      <w:r>
        <w:rPr>
          <w:rFonts w:ascii="Arial" w:hAnsi="Arial" w:cs="Arial"/>
          <w:color w:val="000000"/>
          <w:sz w:val="12"/>
          <w:szCs w:val="12"/>
          <w:vertAlign w:val="superscript"/>
        </w:rPr>
        <w:t>†</w:t>
      </w:r>
    </w:p>
    <w:p w:rsidR="009F4FCA" w:rsidRDefault="009F4FCA"/>
    <w:tbl>
      <w:tblPr>
        <w:tblW w:w="18705" w:type="dxa"/>
        <w:tblCellSpacing w:w="15" w:type="dxa"/>
        <w:tblCellMar>
          <w:left w:w="0" w:type="dxa"/>
          <w:right w:w="0" w:type="dxa"/>
        </w:tblCellMar>
        <w:tblLook w:val="04A0" w:firstRow="1" w:lastRow="0" w:firstColumn="1" w:lastColumn="0" w:noHBand="0" w:noVBand="1"/>
      </w:tblPr>
      <w:tblGrid>
        <w:gridCol w:w="9479"/>
        <w:gridCol w:w="9226"/>
      </w:tblGrid>
      <w:tr w:rsidR="00637180" w:rsidRPr="00F41122" w:rsidTr="00637180">
        <w:trPr>
          <w:tblCellSpacing w:w="15" w:type="dxa"/>
        </w:trPr>
        <w:tc>
          <w:tcPr>
            <w:tcW w:w="2522" w:type="pct"/>
            <w:vAlign w:val="center"/>
            <w:hideMark/>
          </w:tcPr>
          <w:p w:rsidR="00637180" w:rsidRPr="00F41122" w:rsidRDefault="00637180">
            <w:pPr>
              <w:pStyle w:val="Heading3"/>
              <w:spacing w:after="0" w:afterAutospacing="0"/>
              <w:jc w:val="center"/>
              <w:rPr>
                <w:sz w:val="24"/>
                <w:szCs w:val="24"/>
              </w:rPr>
            </w:pPr>
            <w:r w:rsidRPr="00F41122">
              <w:rPr>
                <w:sz w:val="24"/>
                <w:szCs w:val="24"/>
              </w:rPr>
              <w:t>Pricing &amp; Terms</w:t>
            </w:r>
          </w:p>
        </w:tc>
        <w:tc>
          <w:tcPr>
            <w:tcW w:w="2454" w:type="pct"/>
            <w:vAlign w:val="center"/>
            <w:hideMark/>
          </w:tcPr>
          <w:p w:rsidR="00637180" w:rsidRPr="00F41122" w:rsidRDefault="00637180">
            <w:pPr>
              <w:jc w:val="right"/>
              <w:rPr>
                <w:rFonts w:ascii="Times New Roman" w:hAnsi="Times New Roman" w:cs="Times New Roman"/>
                <w:sz w:val="24"/>
                <w:szCs w:val="24"/>
              </w:rPr>
            </w:pPr>
          </w:p>
        </w:tc>
      </w:tr>
    </w:tbl>
    <w:p w:rsidR="00637180" w:rsidRPr="00F41122" w:rsidRDefault="00637180" w:rsidP="00637180">
      <w:pPr>
        <w:jc w:val="center"/>
        <w:rPr>
          <w:rStyle w:val="copy"/>
          <w:rFonts w:ascii="Times New Roman" w:hAnsi="Times New Roman" w:cs="Times New Roman"/>
          <w:sz w:val="24"/>
          <w:szCs w:val="24"/>
        </w:rPr>
      </w:pPr>
      <w:r w:rsidRPr="00F41122">
        <w:rPr>
          <w:rStyle w:val="terms"/>
          <w:rFonts w:ascii="Times New Roman" w:hAnsi="Times New Roman" w:cs="Times New Roman"/>
          <w:color w:val="000000"/>
          <w:sz w:val="24"/>
          <w:szCs w:val="24"/>
        </w:rPr>
        <w:t>Please take a moment to carefully review the Pricing &amp; Terms below.</w:t>
      </w:r>
    </w:p>
    <w:p w:rsidR="00637180" w:rsidRPr="00F41122" w:rsidRDefault="00637180" w:rsidP="00637180">
      <w:pPr>
        <w:pStyle w:val="NormalWeb"/>
        <w:jc w:val="center"/>
        <w:rPr>
          <w:b/>
          <w:bCs/>
          <w:caps/>
        </w:rPr>
      </w:pPr>
      <w:r w:rsidRPr="00F41122">
        <w:rPr>
          <w:rStyle w:val="Strong"/>
          <w:caps/>
          <w:color w:val="000000"/>
        </w:rPr>
        <w:t>PRICING INFORMATION</w:t>
      </w:r>
    </w:p>
    <w:tbl>
      <w:tblPr>
        <w:tblW w:w="9465"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firstRow="1" w:lastRow="0" w:firstColumn="1" w:lastColumn="0" w:noHBand="0" w:noVBand="1"/>
      </w:tblPr>
      <w:tblGrid>
        <w:gridCol w:w="3086"/>
        <w:gridCol w:w="6379"/>
      </w:tblGrid>
      <w:tr w:rsidR="00637180" w:rsidRPr="00F41122" w:rsidTr="00637180">
        <w:tc>
          <w:tcPr>
            <w:tcW w:w="9465" w:type="dxa"/>
            <w:gridSpan w:val="2"/>
            <w:vAlign w:val="center"/>
            <w:hideMark/>
          </w:tcPr>
          <w:p w:rsidR="00637180" w:rsidRPr="00F41122" w:rsidRDefault="00637180">
            <w:pPr>
              <w:pStyle w:val="NormalWeb"/>
              <w:jc w:val="center"/>
              <w:rPr>
                <w:b/>
                <w:bCs/>
                <w:caps/>
              </w:rPr>
            </w:pPr>
            <w:r w:rsidRPr="00F41122">
              <w:rPr>
                <w:rStyle w:val="Strong"/>
                <w:caps/>
              </w:rPr>
              <w:t>INTEREST RATES AND INTEREST CHARGES</w:t>
            </w:r>
          </w:p>
        </w:tc>
      </w:tr>
      <w:tr w:rsidR="00637180" w:rsidRPr="00F41122" w:rsidTr="0063718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37180" w:rsidRPr="00F41122" w:rsidRDefault="00637180">
            <w:pPr>
              <w:pStyle w:val="NormalWeb"/>
            </w:pPr>
            <w:r w:rsidRPr="00F41122">
              <w:rPr>
                <w:rStyle w:val="Strong"/>
              </w:rPr>
              <w:t>Annual Percentage Rate (APR) for Purchases</w:t>
            </w:r>
          </w:p>
        </w:tc>
        <w:tc>
          <w:tcPr>
            <w:tcW w:w="637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37180" w:rsidRPr="00F41122" w:rsidRDefault="00637180">
            <w:pPr>
              <w:pStyle w:val="NormalWeb"/>
            </w:pPr>
            <w:r w:rsidRPr="00F41122">
              <w:rPr>
                <w:b/>
                <w:bCs/>
              </w:rPr>
              <w:t>0%</w:t>
            </w:r>
            <w:r w:rsidRPr="00F41122">
              <w:rPr>
                <w:rStyle w:val="apple-converted-space"/>
              </w:rPr>
              <w:t> </w:t>
            </w:r>
            <w:r w:rsidRPr="00F41122">
              <w:t>Intro APR for the first 12 billing cycles that your Account is open for Elite and Premium Pricing.</w:t>
            </w:r>
          </w:p>
          <w:p w:rsidR="00637180" w:rsidRPr="00F41122" w:rsidRDefault="00637180">
            <w:pPr>
              <w:pStyle w:val="NormalWeb"/>
            </w:pPr>
            <w:r w:rsidRPr="00F41122">
              <w:t>After that,</w:t>
            </w:r>
            <w:r w:rsidRPr="00F41122">
              <w:rPr>
                <w:rStyle w:val="apple-converted-space"/>
              </w:rPr>
              <w:t> </w:t>
            </w:r>
            <w:r w:rsidRPr="00F41122">
              <w:rPr>
                <w:b/>
                <w:bCs/>
              </w:rPr>
              <w:t>11.99%</w:t>
            </w:r>
            <w:r w:rsidRPr="00F41122">
              <w:rPr>
                <w:rStyle w:val="apple-converted-space"/>
              </w:rPr>
              <w:t> </w:t>
            </w:r>
            <w:r w:rsidRPr="00F41122">
              <w:t>for Elite Pricing or</w:t>
            </w:r>
            <w:r w:rsidRPr="00F41122">
              <w:rPr>
                <w:rStyle w:val="apple-converted-space"/>
              </w:rPr>
              <w:t> </w:t>
            </w:r>
            <w:r w:rsidRPr="00F41122">
              <w:rPr>
                <w:b/>
                <w:bCs/>
              </w:rPr>
              <w:t>16.99%</w:t>
            </w:r>
            <w:r w:rsidRPr="00F41122">
              <w:rPr>
                <w:rStyle w:val="apple-converted-space"/>
              </w:rPr>
              <w:t> </w:t>
            </w:r>
            <w:r w:rsidRPr="00F41122">
              <w:t>for Premium Pricing.</w:t>
            </w:r>
            <w:r w:rsidRPr="00F41122">
              <w:rPr>
                <w:rStyle w:val="apple-converted-space"/>
              </w:rPr>
              <w:t> </w:t>
            </w:r>
            <w:r w:rsidRPr="00F41122">
              <w:rPr>
                <w:b/>
                <w:bCs/>
              </w:rPr>
              <w:t>21.99%</w:t>
            </w:r>
            <w:r w:rsidRPr="00F41122">
              <w:rPr>
                <w:rStyle w:val="apple-converted-space"/>
              </w:rPr>
              <w:t> </w:t>
            </w:r>
            <w:r w:rsidRPr="00F41122">
              <w:t xml:space="preserve">from account opening for Standard Pricing. Your APRs will be based on your creditworthiness. These APRs will vary with the market based on the Prime </w:t>
            </w:r>
            <w:proofErr w:type="spellStart"/>
            <w:r w:rsidRPr="00F41122">
              <w:t>Rate.</w:t>
            </w:r>
            <w:r w:rsidRPr="00F41122">
              <w:rPr>
                <w:vertAlign w:val="superscript"/>
              </w:rPr>
              <w:t>a</w:t>
            </w:r>
            <w:proofErr w:type="spellEnd"/>
          </w:p>
        </w:tc>
      </w:tr>
      <w:tr w:rsidR="00637180" w:rsidRPr="00F41122" w:rsidTr="0063718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37180" w:rsidRPr="00F41122" w:rsidRDefault="00637180">
            <w:pPr>
              <w:pStyle w:val="NormalWeb"/>
            </w:pPr>
            <w:r w:rsidRPr="00F41122">
              <w:rPr>
                <w:rStyle w:val="Strong"/>
              </w:rPr>
              <w:t>APR for Balance Transfers</w:t>
            </w:r>
          </w:p>
        </w:tc>
        <w:tc>
          <w:tcPr>
            <w:tcW w:w="637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37180" w:rsidRPr="00F41122" w:rsidRDefault="00637180">
            <w:pPr>
              <w:pStyle w:val="NormalWeb"/>
            </w:pPr>
            <w:r w:rsidRPr="00F41122">
              <w:rPr>
                <w:rStyle w:val="Strong"/>
              </w:rPr>
              <w:t>0%</w:t>
            </w:r>
            <w:r w:rsidRPr="00F41122">
              <w:rPr>
                <w:rStyle w:val="apple-converted-space"/>
              </w:rPr>
              <w:t> </w:t>
            </w:r>
            <w:r w:rsidRPr="00F41122">
              <w:t>Intro APR for the first 12 billing cycles that your Account is open for Elite and Premium Pricing.</w:t>
            </w:r>
            <w:r w:rsidRPr="00F41122">
              <w:rPr>
                <w:rStyle w:val="apple-converted-space"/>
              </w:rPr>
              <w:t> </w:t>
            </w:r>
            <w:r w:rsidRPr="00F41122">
              <w:rPr>
                <w:rStyle w:val="Strong"/>
              </w:rPr>
              <w:t>0%</w:t>
            </w:r>
            <w:r w:rsidRPr="00F41122">
              <w:rPr>
                <w:rStyle w:val="apple-converted-space"/>
              </w:rPr>
              <w:t> </w:t>
            </w:r>
            <w:r w:rsidRPr="00F41122">
              <w:t>Intro APR for the first 6 billing cycles that your Account is open for Standard Pricing.</w:t>
            </w:r>
          </w:p>
          <w:p w:rsidR="00637180" w:rsidRPr="00F41122" w:rsidRDefault="00637180">
            <w:pPr>
              <w:pStyle w:val="NormalWeb"/>
            </w:pPr>
            <w:r w:rsidRPr="00F41122">
              <w:t>After that,</w:t>
            </w:r>
            <w:r w:rsidRPr="00F41122">
              <w:rPr>
                <w:rStyle w:val="apple-converted-space"/>
              </w:rPr>
              <w:t> </w:t>
            </w:r>
            <w:r w:rsidRPr="00F41122">
              <w:rPr>
                <w:rStyle w:val="Strong"/>
              </w:rPr>
              <w:t>11.99%</w:t>
            </w:r>
            <w:r w:rsidRPr="00F41122">
              <w:rPr>
                <w:rStyle w:val="apple-converted-space"/>
              </w:rPr>
              <w:t> </w:t>
            </w:r>
            <w:r w:rsidRPr="00F41122">
              <w:t>for Elite Pricing,</w:t>
            </w:r>
            <w:r w:rsidRPr="00F41122">
              <w:rPr>
                <w:rStyle w:val="apple-converted-space"/>
              </w:rPr>
              <w:t> </w:t>
            </w:r>
            <w:r w:rsidRPr="00F41122">
              <w:rPr>
                <w:rStyle w:val="Strong"/>
              </w:rPr>
              <w:t>16.99%</w:t>
            </w:r>
            <w:r w:rsidRPr="00F41122">
              <w:rPr>
                <w:rStyle w:val="apple-converted-space"/>
              </w:rPr>
              <w:t> </w:t>
            </w:r>
            <w:r w:rsidRPr="00F41122">
              <w:t>for Premium Pricing, or</w:t>
            </w:r>
            <w:r w:rsidRPr="00F41122">
              <w:rPr>
                <w:rStyle w:val="apple-converted-space"/>
              </w:rPr>
              <w:t> </w:t>
            </w:r>
            <w:r w:rsidRPr="00F41122">
              <w:rPr>
                <w:rStyle w:val="Strong"/>
              </w:rPr>
              <w:t>21.99%</w:t>
            </w:r>
            <w:r w:rsidRPr="00F41122">
              <w:rPr>
                <w:rStyle w:val="apple-converted-space"/>
              </w:rPr>
              <w:t> </w:t>
            </w:r>
            <w:r w:rsidRPr="00F41122">
              <w:t xml:space="preserve">for Standard Pricing. Your APRs will be based on your creditworthiness. These APRs will vary with the market based on the Prime </w:t>
            </w:r>
            <w:proofErr w:type="spellStart"/>
            <w:r w:rsidRPr="00F41122">
              <w:t>Rate.</w:t>
            </w:r>
            <w:r w:rsidRPr="00F41122">
              <w:rPr>
                <w:vertAlign w:val="superscript"/>
              </w:rPr>
              <w:t>a</w:t>
            </w:r>
            <w:proofErr w:type="spellEnd"/>
          </w:p>
        </w:tc>
      </w:tr>
      <w:tr w:rsidR="00637180" w:rsidRPr="00F41122" w:rsidTr="0063718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37180" w:rsidRPr="00F41122" w:rsidRDefault="00637180">
            <w:pPr>
              <w:pStyle w:val="NormalWeb"/>
            </w:pPr>
            <w:r w:rsidRPr="00F41122">
              <w:rPr>
                <w:rStyle w:val="Strong"/>
              </w:rPr>
              <w:t>APR for Cash Advances</w:t>
            </w:r>
          </w:p>
        </w:tc>
        <w:tc>
          <w:tcPr>
            <w:tcW w:w="637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37180" w:rsidRPr="00F41122" w:rsidRDefault="00637180">
            <w:pPr>
              <w:pStyle w:val="NormalWeb"/>
            </w:pPr>
            <w:r w:rsidRPr="00F41122">
              <w:rPr>
                <w:rStyle w:val="Strong"/>
              </w:rPr>
              <w:t>19.24%</w:t>
            </w:r>
            <w:r w:rsidRPr="00F41122">
              <w:rPr>
                <w:rStyle w:val="apple-converted-space"/>
              </w:rPr>
              <w:t> </w:t>
            </w:r>
            <w:r w:rsidRPr="00F41122">
              <w:t>for Elite and Premium Pricing or</w:t>
            </w:r>
            <w:r w:rsidRPr="00F41122">
              <w:rPr>
                <w:rStyle w:val="apple-converted-space"/>
              </w:rPr>
              <w:t> </w:t>
            </w:r>
            <w:r w:rsidRPr="00F41122">
              <w:rPr>
                <w:rStyle w:val="Strong"/>
              </w:rPr>
              <w:t>23.24%</w:t>
            </w:r>
            <w:r w:rsidRPr="00F41122">
              <w:rPr>
                <w:rStyle w:val="apple-converted-space"/>
              </w:rPr>
              <w:t> </w:t>
            </w:r>
            <w:r w:rsidRPr="00F41122">
              <w:t xml:space="preserve">for Standard Pricing. Your APRs will be based on your creditworthiness. These APRs will vary with the market based on the Prime </w:t>
            </w:r>
            <w:proofErr w:type="spellStart"/>
            <w:r w:rsidRPr="00F41122">
              <w:t>Rate.</w:t>
            </w:r>
            <w:r w:rsidRPr="00F41122">
              <w:rPr>
                <w:vertAlign w:val="superscript"/>
              </w:rPr>
              <w:t>b</w:t>
            </w:r>
            <w:proofErr w:type="spellEnd"/>
          </w:p>
        </w:tc>
      </w:tr>
      <w:tr w:rsidR="00637180" w:rsidRPr="00F41122" w:rsidTr="0063718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37180" w:rsidRPr="00F41122" w:rsidRDefault="00637180">
            <w:pPr>
              <w:pStyle w:val="NormalWeb"/>
            </w:pPr>
            <w:r w:rsidRPr="00F41122">
              <w:rPr>
                <w:rStyle w:val="Strong"/>
              </w:rPr>
              <w:t>APR for Overdraft Advances</w:t>
            </w:r>
          </w:p>
        </w:tc>
        <w:tc>
          <w:tcPr>
            <w:tcW w:w="637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37180" w:rsidRPr="00F41122" w:rsidRDefault="00637180">
            <w:pPr>
              <w:pStyle w:val="NormalWeb"/>
            </w:pPr>
            <w:r w:rsidRPr="00F41122">
              <w:rPr>
                <w:rStyle w:val="Strong"/>
              </w:rPr>
              <w:t>19.24%</w:t>
            </w:r>
            <w:r w:rsidRPr="00F41122">
              <w:rPr>
                <w:rStyle w:val="apple-converted-space"/>
              </w:rPr>
              <w:t> </w:t>
            </w:r>
            <w:r w:rsidRPr="00F41122">
              <w:t>for Elite and Premium Pricing or</w:t>
            </w:r>
            <w:r w:rsidRPr="00F41122">
              <w:rPr>
                <w:rStyle w:val="apple-converted-space"/>
              </w:rPr>
              <w:t> </w:t>
            </w:r>
            <w:r w:rsidRPr="00F41122">
              <w:rPr>
                <w:rStyle w:val="Strong"/>
              </w:rPr>
              <w:t>23.24%</w:t>
            </w:r>
            <w:r w:rsidRPr="00F41122">
              <w:rPr>
                <w:rStyle w:val="apple-converted-space"/>
              </w:rPr>
              <w:t> </w:t>
            </w:r>
            <w:r w:rsidRPr="00F41122">
              <w:t xml:space="preserve">for Standard Pricing (not available in some states). Your APRs will be based on your creditworthiness. These APRs will vary with the market based on the Prime </w:t>
            </w:r>
            <w:proofErr w:type="spellStart"/>
            <w:r w:rsidRPr="00F41122">
              <w:t>Rate.</w:t>
            </w:r>
            <w:r w:rsidRPr="00F41122">
              <w:rPr>
                <w:vertAlign w:val="superscript"/>
              </w:rPr>
              <w:t>b</w:t>
            </w:r>
            <w:proofErr w:type="spellEnd"/>
          </w:p>
        </w:tc>
      </w:tr>
      <w:tr w:rsidR="00637180" w:rsidRPr="00F41122" w:rsidTr="00637180">
        <w:tc>
          <w:tcPr>
            <w:tcW w:w="0" w:type="auto"/>
            <w:vMerge w:val="restart"/>
            <w:tcBorders>
              <w:top w:val="single" w:sz="6" w:space="0" w:color="000000"/>
              <w:left w:val="single" w:sz="6" w:space="0" w:color="000000"/>
              <w:bottom w:val="nil"/>
              <w:right w:val="single" w:sz="6" w:space="0" w:color="000000"/>
            </w:tcBorders>
            <w:tcMar>
              <w:top w:w="45" w:type="dxa"/>
              <w:left w:w="45" w:type="dxa"/>
              <w:bottom w:w="45" w:type="dxa"/>
              <w:right w:w="45" w:type="dxa"/>
            </w:tcMar>
            <w:hideMark/>
          </w:tcPr>
          <w:p w:rsidR="00637180" w:rsidRPr="00F41122" w:rsidRDefault="00637180">
            <w:pPr>
              <w:pStyle w:val="NormalWeb"/>
            </w:pPr>
            <w:r w:rsidRPr="00F41122">
              <w:rPr>
                <w:rStyle w:val="Strong"/>
              </w:rPr>
              <w:lastRenderedPageBreak/>
              <w:t>Penalty APR and When It Applies</w:t>
            </w:r>
          </w:p>
        </w:tc>
        <w:tc>
          <w:tcPr>
            <w:tcW w:w="6379" w:type="dxa"/>
            <w:tcBorders>
              <w:top w:val="single" w:sz="6" w:space="0" w:color="000000"/>
              <w:left w:val="single" w:sz="6" w:space="0" w:color="000000"/>
              <w:bottom w:val="nil"/>
              <w:right w:val="single" w:sz="6" w:space="0" w:color="000000"/>
            </w:tcBorders>
            <w:tcMar>
              <w:top w:w="45" w:type="dxa"/>
              <w:left w:w="45" w:type="dxa"/>
              <w:bottom w:w="45" w:type="dxa"/>
              <w:right w:w="45" w:type="dxa"/>
            </w:tcMar>
            <w:hideMark/>
          </w:tcPr>
          <w:p w:rsidR="00637180" w:rsidRPr="00F41122" w:rsidRDefault="00637180">
            <w:pPr>
              <w:pStyle w:val="NormalWeb"/>
            </w:pPr>
            <w:r w:rsidRPr="00F41122">
              <w:rPr>
                <w:rStyle w:val="Strong"/>
              </w:rPr>
              <w:t>29.99%</w:t>
            </w:r>
            <w:r w:rsidRPr="00F41122">
              <w:t xml:space="preserve">. This APR will vary with the market based on the Prime </w:t>
            </w:r>
            <w:proofErr w:type="spellStart"/>
            <w:r w:rsidRPr="00F41122">
              <w:t>Rate.</w:t>
            </w:r>
            <w:r w:rsidRPr="00F41122">
              <w:rPr>
                <w:vertAlign w:val="superscript"/>
              </w:rPr>
              <w:t>c</w:t>
            </w:r>
            <w:proofErr w:type="spellEnd"/>
          </w:p>
        </w:tc>
      </w:tr>
      <w:tr w:rsidR="00637180" w:rsidRPr="00F41122" w:rsidTr="00637180">
        <w:tc>
          <w:tcPr>
            <w:tcW w:w="0" w:type="auto"/>
            <w:vMerge/>
            <w:tcBorders>
              <w:top w:val="single" w:sz="6" w:space="0" w:color="000000"/>
              <w:left w:val="single" w:sz="6" w:space="0" w:color="000000"/>
              <w:bottom w:val="nil"/>
              <w:right w:val="single" w:sz="6" w:space="0" w:color="000000"/>
            </w:tcBorders>
            <w:vAlign w:val="center"/>
            <w:hideMark/>
          </w:tcPr>
          <w:p w:rsidR="00637180" w:rsidRPr="00F41122" w:rsidRDefault="00637180">
            <w:pPr>
              <w:rPr>
                <w:rFonts w:ascii="Times New Roman" w:hAnsi="Times New Roman" w:cs="Times New Roman"/>
                <w:sz w:val="24"/>
                <w:szCs w:val="24"/>
              </w:rPr>
            </w:pPr>
          </w:p>
        </w:tc>
        <w:tc>
          <w:tcPr>
            <w:tcW w:w="6379" w:type="dxa"/>
            <w:tcBorders>
              <w:top w:val="nil"/>
              <w:left w:val="single" w:sz="6" w:space="0" w:color="000000"/>
              <w:bottom w:val="single" w:sz="6" w:space="0" w:color="000000"/>
              <w:right w:val="single" w:sz="6" w:space="0" w:color="000000"/>
            </w:tcBorders>
            <w:tcMar>
              <w:top w:w="45" w:type="dxa"/>
              <w:left w:w="45" w:type="dxa"/>
              <w:bottom w:w="45" w:type="dxa"/>
              <w:right w:w="45" w:type="dxa"/>
            </w:tcMar>
            <w:hideMark/>
          </w:tcPr>
          <w:p w:rsidR="00637180" w:rsidRPr="00F41122" w:rsidRDefault="00637180">
            <w:pPr>
              <w:pStyle w:val="NormalWeb"/>
            </w:pPr>
            <w:r w:rsidRPr="00F41122">
              <w:t>The Penalty APR will apply to your Account if you:</w:t>
            </w:r>
          </w:p>
          <w:p w:rsidR="00637180" w:rsidRPr="00F41122" w:rsidRDefault="00637180" w:rsidP="00637180">
            <w:pPr>
              <w:numPr>
                <w:ilvl w:val="0"/>
                <w:numId w:val="2"/>
              </w:numPr>
              <w:spacing w:before="100" w:beforeAutospacing="1" w:after="100" w:afterAutospacing="1" w:line="240" w:lineRule="auto"/>
              <w:rPr>
                <w:rFonts w:ascii="Times New Roman" w:hAnsi="Times New Roman" w:cs="Times New Roman"/>
                <w:color w:val="000000"/>
                <w:sz w:val="24"/>
                <w:szCs w:val="24"/>
              </w:rPr>
            </w:pPr>
            <w:r w:rsidRPr="00F41122">
              <w:rPr>
                <w:rFonts w:ascii="Times New Roman" w:hAnsi="Times New Roman" w:cs="Times New Roman"/>
                <w:color w:val="000000"/>
                <w:sz w:val="24"/>
                <w:szCs w:val="24"/>
              </w:rPr>
              <w:t>fail to make any Minimum Payment by the date and time due (late payment);</w:t>
            </w:r>
          </w:p>
          <w:p w:rsidR="00637180" w:rsidRPr="00F41122" w:rsidRDefault="00637180" w:rsidP="00637180">
            <w:pPr>
              <w:numPr>
                <w:ilvl w:val="0"/>
                <w:numId w:val="2"/>
              </w:numPr>
              <w:spacing w:before="100" w:beforeAutospacing="1" w:after="100" w:afterAutospacing="1" w:line="240" w:lineRule="auto"/>
              <w:rPr>
                <w:rFonts w:ascii="Times New Roman" w:hAnsi="Times New Roman" w:cs="Times New Roman"/>
                <w:color w:val="000000"/>
                <w:sz w:val="24"/>
                <w:szCs w:val="24"/>
              </w:rPr>
            </w:pPr>
            <w:r w:rsidRPr="00F41122">
              <w:rPr>
                <w:rFonts w:ascii="Times New Roman" w:hAnsi="Times New Roman" w:cs="Times New Roman"/>
                <w:color w:val="000000"/>
                <w:sz w:val="24"/>
                <w:szCs w:val="24"/>
              </w:rPr>
              <w:t>exceed your credit line;</w:t>
            </w:r>
          </w:p>
          <w:p w:rsidR="00637180" w:rsidRPr="00F41122" w:rsidRDefault="00637180" w:rsidP="00637180">
            <w:pPr>
              <w:numPr>
                <w:ilvl w:val="0"/>
                <w:numId w:val="2"/>
              </w:numPr>
              <w:spacing w:before="100" w:beforeAutospacing="1" w:after="100" w:afterAutospacing="1" w:line="240" w:lineRule="auto"/>
              <w:rPr>
                <w:rFonts w:ascii="Times New Roman" w:hAnsi="Times New Roman" w:cs="Times New Roman"/>
                <w:color w:val="000000"/>
                <w:sz w:val="24"/>
                <w:szCs w:val="24"/>
              </w:rPr>
            </w:pPr>
            <w:r w:rsidRPr="00F41122">
              <w:rPr>
                <w:rFonts w:ascii="Times New Roman" w:hAnsi="Times New Roman" w:cs="Times New Roman"/>
                <w:color w:val="000000"/>
                <w:sz w:val="24"/>
                <w:szCs w:val="24"/>
              </w:rPr>
              <w:t>make a payment to us that is returned unpaid; or</w:t>
            </w:r>
          </w:p>
          <w:p w:rsidR="00637180" w:rsidRPr="00F41122" w:rsidRDefault="00637180" w:rsidP="00637180">
            <w:pPr>
              <w:numPr>
                <w:ilvl w:val="0"/>
                <w:numId w:val="2"/>
              </w:numPr>
              <w:spacing w:before="100" w:beforeAutospacing="1" w:after="100" w:afterAutospacing="1" w:line="240" w:lineRule="auto"/>
              <w:rPr>
                <w:rFonts w:ascii="Times New Roman" w:hAnsi="Times New Roman" w:cs="Times New Roman"/>
                <w:color w:val="000000"/>
                <w:sz w:val="24"/>
                <w:szCs w:val="24"/>
              </w:rPr>
            </w:pPr>
            <w:proofErr w:type="gramStart"/>
            <w:r w:rsidRPr="00F41122">
              <w:rPr>
                <w:rFonts w:ascii="Times New Roman" w:hAnsi="Times New Roman" w:cs="Times New Roman"/>
                <w:color w:val="000000"/>
                <w:sz w:val="24"/>
                <w:szCs w:val="24"/>
              </w:rPr>
              <w:t>do</w:t>
            </w:r>
            <w:proofErr w:type="gramEnd"/>
            <w:r w:rsidRPr="00F41122">
              <w:rPr>
                <w:rFonts w:ascii="Times New Roman" w:hAnsi="Times New Roman" w:cs="Times New Roman"/>
                <w:color w:val="000000"/>
                <w:sz w:val="24"/>
                <w:szCs w:val="24"/>
              </w:rPr>
              <w:t xml:space="preserve"> any of the above on another account or loan you have with us or any of our related companies.</w:t>
            </w:r>
          </w:p>
          <w:p w:rsidR="00637180" w:rsidRPr="00F41122" w:rsidRDefault="00637180">
            <w:pPr>
              <w:pStyle w:val="NormalWeb"/>
            </w:pPr>
            <w:r w:rsidRPr="00F41122">
              <w:rPr>
                <w:rStyle w:val="Strong"/>
              </w:rPr>
              <w:t>How Long Will the Penalty APR Apply:</w:t>
            </w:r>
            <w:r w:rsidRPr="00F41122">
              <w:rPr>
                <w:rStyle w:val="apple-converted-space"/>
              </w:rPr>
              <w:t> </w:t>
            </w:r>
            <w:r w:rsidRPr="00F41122">
              <w:t>If an APR is increased for any of these reasons, the Penalty APR will apply indefinitely to future transactions. If we do not receive any Minimum Payment within 60 days of the date and time due, the Penalty APR will apply to all outstanding balances and future transactions on your Account; but if we receive six consecutive Minimum Payments when due, beginning immediately after the increase, the Penalty APR will stop being applied to transactions that occurred prior to or within 14 days after we provided you notice about the APR increase.</w:t>
            </w:r>
          </w:p>
        </w:tc>
      </w:tr>
      <w:tr w:rsidR="00637180" w:rsidRPr="00F41122" w:rsidTr="0063718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37180" w:rsidRPr="00F41122" w:rsidRDefault="00637180">
            <w:pPr>
              <w:pStyle w:val="NormalWeb"/>
            </w:pPr>
            <w:r w:rsidRPr="00F41122">
              <w:rPr>
                <w:rStyle w:val="Strong"/>
              </w:rPr>
              <w:t>How to Avoid Paying Interest on Purchases</w:t>
            </w:r>
          </w:p>
        </w:tc>
        <w:tc>
          <w:tcPr>
            <w:tcW w:w="637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37180" w:rsidRPr="00F41122" w:rsidRDefault="00637180">
            <w:pPr>
              <w:pStyle w:val="NormalWeb"/>
            </w:pPr>
            <w:r w:rsidRPr="00F41122">
              <w:t>Your due date will be a minimum of 21 days after the close of each billing cycle. We will not charge you periodic interest on any portion of new purchases billed to a statement that we allocate such payment to, so long as your current statement shows that we received payment of the entire balance for your previous statement by the time the Minimum Payment was due. You may not be able to avoid interest on new purchases if you have another balance at a higher interest rate, unless you pay your balance in full each month, because we generally allocate payments to higher rate balances first. We will begin charging interest on balance transfers, cash advances, and overdraft advances on the transaction date.</w:t>
            </w:r>
          </w:p>
        </w:tc>
      </w:tr>
      <w:tr w:rsidR="00637180" w:rsidRPr="00F41122" w:rsidTr="0063718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37180" w:rsidRPr="00F41122" w:rsidRDefault="00637180">
            <w:pPr>
              <w:pStyle w:val="NormalWeb"/>
            </w:pPr>
            <w:r w:rsidRPr="00F41122">
              <w:rPr>
                <w:rStyle w:val="Strong"/>
              </w:rPr>
              <w:t>Minimum Interest Charge</w:t>
            </w:r>
          </w:p>
        </w:tc>
        <w:tc>
          <w:tcPr>
            <w:tcW w:w="637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37180" w:rsidRPr="00F41122" w:rsidRDefault="00637180">
            <w:pPr>
              <w:pStyle w:val="NormalWeb"/>
            </w:pPr>
            <w:r w:rsidRPr="00F41122">
              <w:t>If you are charged periodic interest, the charge will be no less than $1.50.</w:t>
            </w:r>
          </w:p>
        </w:tc>
      </w:tr>
      <w:tr w:rsidR="00637180" w:rsidRPr="00F41122" w:rsidTr="0063718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37180" w:rsidRPr="00F41122" w:rsidRDefault="00637180">
            <w:pPr>
              <w:pStyle w:val="NormalWeb"/>
            </w:pPr>
            <w:r w:rsidRPr="00F41122">
              <w:rPr>
                <w:rStyle w:val="Strong"/>
              </w:rPr>
              <w:t>For Credit Card Tips from the Federal Reserve Board</w:t>
            </w:r>
          </w:p>
        </w:tc>
        <w:tc>
          <w:tcPr>
            <w:tcW w:w="637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37180" w:rsidRPr="00F41122" w:rsidRDefault="00637180">
            <w:pPr>
              <w:pStyle w:val="NormalWeb"/>
            </w:pPr>
            <w:r w:rsidRPr="00F41122">
              <w:t>To learn more about factors to consider when applying for or using a credit card, visit the website of the Federal Reserve Board at http://www.federalreserve.gov/creditcard.</w:t>
            </w:r>
          </w:p>
        </w:tc>
      </w:tr>
    </w:tbl>
    <w:p w:rsidR="00637180" w:rsidRPr="00F41122" w:rsidRDefault="00637180" w:rsidP="00637180">
      <w:pPr>
        <w:rPr>
          <w:rStyle w:val="apple-style-span"/>
          <w:rFonts w:ascii="Times New Roman" w:hAnsi="Times New Roman" w:cs="Times New Roman"/>
          <w:vanish/>
          <w:color w:val="000000"/>
          <w:sz w:val="24"/>
          <w:szCs w:val="24"/>
        </w:rPr>
      </w:pPr>
    </w:p>
    <w:tbl>
      <w:tblPr>
        <w:tblW w:w="9465"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firstRow="1" w:lastRow="0" w:firstColumn="1" w:lastColumn="0" w:noHBand="0" w:noVBand="1"/>
      </w:tblPr>
      <w:tblGrid>
        <w:gridCol w:w="3440"/>
        <w:gridCol w:w="6025"/>
      </w:tblGrid>
      <w:tr w:rsidR="00637180" w:rsidRPr="00F41122" w:rsidTr="00637180">
        <w:tc>
          <w:tcPr>
            <w:tcW w:w="9465" w:type="dxa"/>
            <w:gridSpan w:val="2"/>
            <w:vAlign w:val="center"/>
            <w:hideMark/>
          </w:tcPr>
          <w:p w:rsidR="00637180" w:rsidRPr="00F41122" w:rsidRDefault="00637180">
            <w:pPr>
              <w:pStyle w:val="NormalWeb"/>
              <w:jc w:val="center"/>
              <w:rPr>
                <w:b/>
                <w:bCs/>
                <w:caps/>
              </w:rPr>
            </w:pPr>
            <w:r w:rsidRPr="00F41122">
              <w:rPr>
                <w:rStyle w:val="Strong"/>
                <w:caps/>
              </w:rPr>
              <w:t>FEES</w:t>
            </w:r>
          </w:p>
        </w:tc>
      </w:tr>
      <w:tr w:rsidR="00637180" w:rsidRPr="00F41122" w:rsidTr="0063718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37180" w:rsidRPr="00F41122" w:rsidRDefault="00637180">
            <w:pPr>
              <w:pStyle w:val="NormalWeb"/>
            </w:pPr>
            <w:r w:rsidRPr="00F41122">
              <w:rPr>
                <w:rStyle w:val="Strong"/>
              </w:rPr>
              <w:t>Annual Membership Fee</w:t>
            </w:r>
          </w:p>
        </w:tc>
        <w:tc>
          <w:tcPr>
            <w:tcW w:w="461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37180" w:rsidRPr="00F41122" w:rsidRDefault="00637180">
            <w:pPr>
              <w:pStyle w:val="NormalWeb"/>
            </w:pPr>
            <w:r w:rsidRPr="00F41122">
              <w:rPr>
                <w:rStyle w:val="Strong"/>
              </w:rPr>
              <w:t>None</w:t>
            </w:r>
          </w:p>
        </w:tc>
      </w:tr>
      <w:tr w:rsidR="00637180" w:rsidRPr="00F41122" w:rsidTr="00637180">
        <w:tc>
          <w:tcPr>
            <w:tcW w:w="0" w:type="auto"/>
            <w:tcBorders>
              <w:top w:val="single" w:sz="6" w:space="0" w:color="000000"/>
              <w:left w:val="single" w:sz="6" w:space="0" w:color="000000"/>
              <w:bottom w:val="nil"/>
              <w:right w:val="single" w:sz="6" w:space="0" w:color="000000"/>
            </w:tcBorders>
            <w:tcMar>
              <w:top w:w="45" w:type="dxa"/>
              <w:left w:w="45" w:type="dxa"/>
              <w:bottom w:w="45" w:type="dxa"/>
              <w:right w:w="45" w:type="dxa"/>
            </w:tcMar>
            <w:hideMark/>
          </w:tcPr>
          <w:p w:rsidR="00637180" w:rsidRPr="00F41122" w:rsidRDefault="00637180">
            <w:pPr>
              <w:pStyle w:val="NormalWeb"/>
            </w:pPr>
            <w:r w:rsidRPr="00F41122">
              <w:rPr>
                <w:rStyle w:val="Strong"/>
              </w:rPr>
              <w:t>Transaction fees</w:t>
            </w:r>
          </w:p>
        </w:tc>
        <w:tc>
          <w:tcPr>
            <w:tcW w:w="4619" w:type="dxa"/>
            <w:tcBorders>
              <w:top w:val="single" w:sz="6" w:space="0" w:color="000000"/>
              <w:left w:val="single" w:sz="6" w:space="0" w:color="000000"/>
              <w:bottom w:val="nil"/>
              <w:right w:val="single" w:sz="6" w:space="0" w:color="000000"/>
            </w:tcBorders>
            <w:tcMar>
              <w:top w:w="45" w:type="dxa"/>
              <w:left w:w="45" w:type="dxa"/>
              <w:bottom w:w="45" w:type="dxa"/>
              <w:right w:w="45" w:type="dxa"/>
            </w:tcMar>
            <w:hideMark/>
          </w:tcPr>
          <w:p w:rsidR="00637180" w:rsidRPr="00F41122" w:rsidRDefault="00637180">
            <w:pPr>
              <w:rPr>
                <w:rFonts w:ascii="Times New Roman" w:hAnsi="Times New Roman" w:cs="Times New Roman"/>
                <w:sz w:val="24"/>
                <w:szCs w:val="24"/>
              </w:rPr>
            </w:pPr>
          </w:p>
        </w:tc>
      </w:tr>
      <w:tr w:rsidR="00637180" w:rsidRPr="00F41122" w:rsidTr="00637180">
        <w:tc>
          <w:tcPr>
            <w:tcW w:w="0" w:type="auto"/>
            <w:tcBorders>
              <w:top w:val="nil"/>
              <w:left w:val="single" w:sz="6" w:space="0" w:color="000000"/>
              <w:bottom w:val="nil"/>
              <w:right w:val="single" w:sz="6" w:space="0" w:color="000000"/>
            </w:tcBorders>
            <w:tcMar>
              <w:top w:w="45" w:type="dxa"/>
              <w:left w:w="45" w:type="dxa"/>
              <w:bottom w:w="45" w:type="dxa"/>
              <w:right w:w="45" w:type="dxa"/>
            </w:tcMar>
            <w:hideMark/>
          </w:tcPr>
          <w:p w:rsidR="00637180" w:rsidRPr="00F41122" w:rsidRDefault="00637180">
            <w:pPr>
              <w:pStyle w:val="NormalWeb"/>
            </w:pPr>
            <w:r w:rsidRPr="00F41122">
              <w:t>Balance Transfers</w:t>
            </w:r>
          </w:p>
        </w:tc>
        <w:tc>
          <w:tcPr>
            <w:tcW w:w="4619" w:type="dxa"/>
            <w:tcBorders>
              <w:top w:val="nil"/>
              <w:left w:val="single" w:sz="6" w:space="0" w:color="000000"/>
              <w:bottom w:val="nil"/>
              <w:right w:val="single" w:sz="6" w:space="0" w:color="000000"/>
            </w:tcBorders>
            <w:tcMar>
              <w:top w:w="45" w:type="dxa"/>
              <w:left w:w="45" w:type="dxa"/>
              <w:bottom w:w="45" w:type="dxa"/>
              <w:right w:w="45" w:type="dxa"/>
            </w:tcMar>
            <w:hideMark/>
          </w:tcPr>
          <w:p w:rsidR="00637180" w:rsidRPr="00F41122" w:rsidRDefault="00637180">
            <w:pPr>
              <w:pStyle w:val="NormalWeb"/>
            </w:pPr>
            <w:r w:rsidRPr="00F41122">
              <w:t>Either</w:t>
            </w:r>
            <w:r w:rsidRPr="00F41122">
              <w:rPr>
                <w:rStyle w:val="apple-converted-space"/>
              </w:rPr>
              <w:t> </w:t>
            </w:r>
            <w:r w:rsidRPr="00F41122">
              <w:rPr>
                <w:rStyle w:val="Strong"/>
              </w:rPr>
              <w:t>$5.00</w:t>
            </w:r>
            <w:r w:rsidRPr="00F41122">
              <w:rPr>
                <w:rStyle w:val="apple-converted-space"/>
              </w:rPr>
              <w:t> </w:t>
            </w:r>
            <w:r w:rsidRPr="00F41122">
              <w:t>or</w:t>
            </w:r>
            <w:r w:rsidRPr="00F41122">
              <w:rPr>
                <w:rStyle w:val="apple-converted-space"/>
              </w:rPr>
              <w:t> </w:t>
            </w:r>
            <w:r w:rsidRPr="00F41122">
              <w:rPr>
                <w:rStyle w:val="Strong"/>
              </w:rPr>
              <w:t>3%</w:t>
            </w:r>
            <w:r w:rsidRPr="00F41122">
              <w:rPr>
                <w:rStyle w:val="apple-converted-space"/>
              </w:rPr>
              <w:t> </w:t>
            </w:r>
            <w:r w:rsidRPr="00F41122">
              <w:t>of the amount of each transfer, whichever is greater.</w:t>
            </w:r>
          </w:p>
        </w:tc>
      </w:tr>
      <w:tr w:rsidR="00637180" w:rsidRPr="00F41122" w:rsidTr="00637180">
        <w:tc>
          <w:tcPr>
            <w:tcW w:w="0" w:type="auto"/>
            <w:tcBorders>
              <w:top w:val="nil"/>
              <w:left w:val="single" w:sz="6" w:space="0" w:color="000000"/>
              <w:bottom w:val="nil"/>
              <w:right w:val="single" w:sz="6" w:space="0" w:color="000000"/>
            </w:tcBorders>
            <w:tcMar>
              <w:top w:w="45" w:type="dxa"/>
              <w:left w:w="45" w:type="dxa"/>
              <w:bottom w:w="45" w:type="dxa"/>
              <w:right w:w="45" w:type="dxa"/>
            </w:tcMar>
            <w:hideMark/>
          </w:tcPr>
          <w:p w:rsidR="00637180" w:rsidRPr="00F41122" w:rsidRDefault="00637180">
            <w:pPr>
              <w:pStyle w:val="NormalWeb"/>
            </w:pPr>
            <w:r w:rsidRPr="00F41122">
              <w:t>Cash Advances</w:t>
            </w:r>
          </w:p>
        </w:tc>
        <w:tc>
          <w:tcPr>
            <w:tcW w:w="4619" w:type="dxa"/>
            <w:tcBorders>
              <w:top w:val="nil"/>
              <w:left w:val="single" w:sz="6" w:space="0" w:color="000000"/>
              <w:bottom w:val="nil"/>
              <w:right w:val="single" w:sz="6" w:space="0" w:color="000000"/>
            </w:tcBorders>
            <w:tcMar>
              <w:top w:w="45" w:type="dxa"/>
              <w:left w:w="45" w:type="dxa"/>
              <w:bottom w:w="45" w:type="dxa"/>
              <w:right w:w="45" w:type="dxa"/>
            </w:tcMar>
            <w:hideMark/>
          </w:tcPr>
          <w:p w:rsidR="00637180" w:rsidRPr="00F41122" w:rsidRDefault="00637180">
            <w:pPr>
              <w:pStyle w:val="NormalWeb"/>
            </w:pPr>
            <w:r w:rsidRPr="00F41122">
              <w:t>Either</w:t>
            </w:r>
            <w:r w:rsidRPr="00F41122">
              <w:rPr>
                <w:rStyle w:val="apple-converted-space"/>
              </w:rPr>
              <w:t> </w:t>
            </w:r>
            <w:r w:rsidRPr="00F41122">
              <w:rPr>
                <w:rStyle w:val="Strong"/>
              </w:rPr>
              <w:t>$10.00</w:t>
            </w:r>
            <w:r w:rsidRPr="00F41122">
              <w:rPr>
                <w:rStyle w:val="apple-converted-space"/>
              </w:rPr>
              <w:t> </w:t>
            </w:r>
            <w:r w:rsidRPr="00F41122">
              <w:t>or</w:t>
            </w:r>
            <w:r w:rsidRPr="00F41122">
              <w:rPr>
                <w:rStyle w:val="apple-converted-space"/>
              </w:rPr>
              <w:t> </w:t>
            </w:r>
            <w:r w:rsidRPr="00F41122">
              <w:rPr>
                <w:rStyle w:val="Strong"/>
              </w:rPr>
              <w:t>3%</w:t>
            </w:r>
            <w:r w:rsidRPr="00F41122">
              <w:rPr>
                <w:rStyle w:val="apple-converted-space"/>
              </w:rPr>
              <w:t> </w:t>
            </w:r>
            <w:r w:rsidRPr="00F41122">
              <w:t>of the amount of each transaction, whichever is greater.</w:t>
            </w:r>
          </w:p>
        </w:tc>
      </w:tr>
      <w:tr w:rsidR="00637180" w:rsidRPr="00F41122" w:rsidTr="00637180">
        <w:tc>
          <w:tcPr>
            <w:tcW w:w="0" w:type="auto"/>
            <w:tcBorders>
              <w:top w:val="nil"/>
              <w:left w:val="single" w:sz="6" w:space="0" w:color="000000"/>
              <w:bottom w:val="nil"/>
              <w:right w:val="single" w:sz="6" w:space="0" w:color="000000"/>
            </w:tcBorders>
            <w:tcMar>
              <w:top w:w="45" w:type="dxa"/>
              <w:left w:w="45" w:type="dxa"/>
              <w:bottom w:w="45" w:type="dxa"/>
              <w:right w:w="45" w:type="dxa"/>
            </w:tcMar>
            <w:hideMark/>
          </w:tcPr>
          <w:p w:rsidR="00637180" w:rsidRPr="00F41122" w:rsidRDefault="00637180">
            <w:pPr>
              <w:pStyle w:val="NormalWeb"/>
            </w:pPr>
            <w:r w:rsidRPr="00F41122">
              <w:lastRenderedPageBreak/>
              <w:t>Foreign Transactions</w:t>
            </w:r>
          </w:p>
        </w:tc>
        <w:tc>
          <w:tcPr>
            <w:tcW w:w="4619" w:type="dxa"/>
            <w:tcBorders>
              <w:top w:val="nil"/>
              <w:left w:val="single" w:sz="6" w:space="0" w:color="000000"/>
              <w:bottom w:val="nil"/>
              <w:right w:val="single" w:sz="6" w:space="0" w:color="000000"/>
            </w:tcBorders>
            <w:tcMar>
              <w:top w:w="45" w:type="dxa"/>
              <w:left w:w="45" w:type="dxa"/>
              <w:bottom w:w="45" w:type="dxa"/>
              <w:right w:w="45" w:type="dxa"/>
            </w:tcMar>
            <w:hideMark/>
          </w:tcPr>
          <w:p w:rsidR="00637180" w:rsidRPr="00F41122" w:rsidRDefault="00637180">
            <w:pPr>
              <w:pStyle w:val="NormalWeb"/>
            </w:pPr>
            <w:r w:rsidRPr="00F41122">
              <w:rPr>
                <w:rStyle w:val="Strong"/>
              </w:rPr>
              <w:t>3%</w:t>
            </w:r>
            <w:r w:rsidRPr="00F41122">
              <w:rPr>
                <w:rStyle w:val="apple-converted-space"/>
              </w:rPr>
              <w:t> </w:t>
            </w:r>
            <w:r w:rsidRPr="00F41122">
              <w:t>of each transaction in U.S. dollars.</w:t>
            </w:r>
          </w:p>
        </w:tc>
      </w:tr>
      <w:tr w:rsidR="00637180" w:rsidRPr="00F41122" w:rsidTr="00637180">
        <w:tc>
          <w:tcPr>
            <w:tcW w:w="0" w:type="auto"/>
            <w:tcBorders>
              <w:top w:val="single" w:sz="6" w:space="0" w:color="000000"/>
              <w:left w:val="single" w:sz="6" w:space="0" w:color="000000"/>
              <w:bottom w:val="nil"/>
              <w:right w:val="single" w:sz="6" w:space="0" w:color="000000"/>
            </w:tcBorders>
            <w:tcMar>
              <w:top w:w="45" w:type="dxa"/>
              <w:left w:w="45" w:type="dxa"/>
              <w:bottom w:w="45" w:type="dxa"/>
              <w:right w:w="45" w:type="dxa"/>
            </w:tcMar>
            <w:hideMark/>
          </w:tcPr>
          <w:p w:rsidR="00637180" w:rsidRPr="00F41122" w:rsidRDefault="00637180">
            <w:pPr>
              <w:pStyle w:val="NormalWeb"/>
            </w:pPr>
            <w:r w:rsidRPr="00F41122">
              <w:rPr>
                <w:rStyle w:val="Strong"/>
              </w:rPr>
              <w:t>Penalty Fees</w:t>
            </w:r>
          </w:p>
        </w:tc>
        <w:tc>
          <w:tcPr>
            <w:tcW w:w="4619" w:type="dxa"/>
            <w:tcBorders>
              <w:top w:val="single" w:sz="6" w:space="0" w:color="000000"/>
              <w:left w:val="single" w:sz="6" w:space="0" w:color="000000"/>
              <w:bottom w:val="nil"/>
              <w:right w:val="single" w:sz="6" w:space="0" w:color="000000"/>
            </w:tcBorders>
            <w:tcMar>
              <w:top w:w="45" w:type="dxa"/>
              <w:left w:w="45" w:type="dxa"/>
              <w:bottom w:w="45" w:type="dxa"/>
              <w:right w:w="45" w:type="dxa"/>
            </w:tcMar>
            <w:hideMark/>
          </w:tcPr>
          <w:p w:rsidR="00637180" w:rsidRPr="00F41122" w:rsidRDefault="00637180">
            <w:pPr>
              <w:rPr>
                <w:rFonts w:ascii="Times New Roman" w:hAnsi="Times New Roman" w:cs="Times New Roman"/>
                <w:sz w:val="24"/>
                <w:szCs w:val="24"/>
              </w:rPr>
            </w:pPr>
          </w:p>
        </w:tc>
      </w:tr>
      <w:tr w:rsidR="00637180" w:rsidRPr="00F41122" w:rsidTr="00637180">
        <w:tc>
          <w:tcPr>
            <w:tcW w:w="0" w:type="auto"/>
            <w:tcBorders>
              <w:top w:val="nil"/>
              <w:left w:val="single" w:sz="6" w:space="0" w:color="000000"/>
              <w:bottom w:val="nil"/>
              <w:right w:val="single" w:sz="6" w:space="0" w:color="000000"/>
            </w:tcBorders>
            <w:tcMar>
              <w:top w:w="45" w:type="dxa"/>
              <w:left w:w="45" w:type="dxa"/>
              <w:bottom w:w="45" w:type="dxa"/>
              <w:right w:w="45" w:type="dxa"/>
            </w:tcMar>
            <w:hideMark/>
          </w:tcPr>
          <w:p w:rsidR="00637180" w:rsidRPr="00F41122" w:rsidRDefault="00637180">
            <w:pPr>
              <w:pStyle w:val="NormalWeb"/>
            </w:pPr>
            <w:r w:rsidRPr="00F41122">
              <w:t>Late Payment</w:t>
            </w:r>
          </w:p>
        </w:tc>
        <w:tc>
          <w:tcPr>
            <w:tcW w:w="4619" w:type="dxa"/>
            <w:tcBorders>
              <w:top w:val="nil"/>
              <w:left w:val="single" w:sz="6" w:space="0" w:color="000000"/>
              <w:bottom w:val="nil"/>
              <w:right w:val="single" w:sz="6" w:space="0" w:color="000000"/>
            </w:tcBorders>
            <w:tcMar>
              <w:top w:w="45" w:type="dxa"/>
              <w:left w:w="45" w:type="dxa"/>
              <w:bottom w:w="45" w:type="dxa"/>
              <w:right w:w="45" w:type="dxa"/>
            </w:tcMar>
            <w:hideMark/>
          </w:tcPr>
          <w:p w:rsidR="00637180" w:rsidRPr="00F41122" w:rsidRDefault="00637180">
            <w:pPr>
              <w:pStyle w:val="NormalWeb"/>
            </w:pPr>
            <w:r w:rsidRPr="00F41122">
              <w:t>Up to</w:t>
            </w:r>
            <w:r w:rsidRPr="00F41122">
              <w:rPr>
                <w:rStyle w:val="apple-converted-space"/>
              </w:rPr>
              <w:t> </w:t>
            </w:r>
            <w:r w:rsidRPr="00F41122">
              <w:rPr>
                <w:rStyle w:val="Strong"/>
              </w:rPr>
              <w:t>$35.00</w:t>
            </w:r>
            <w:r w:rsidRPr="00F41122">
              <w:t>.</w:t>
            </w:r>
          </w:p>
        </w:tc>
      </w:tr>
      <w:tr w:rsidR="00637180" w:rsidRPr="00F41122" w:rsidTr="00637180">
        <w:tc>
          <w:tcPr>
            <w:tcW w:w="0" w:type="auto"/>
            <w:tcBorders>
              <w:top w:val="nil"/>
              <w:left w:val="single" w:sz="6" w:space="0" w:color="000000"/>
              <w:bottom w:val="nil"/>
              <w:right w:val="single" w:sz="6" w:space="0" w:color="000000"/>
            </w:tcBorders>
            <w:tcMar>
              <w:top w:w="45" w:type="dxa"/>
              <w:left w:w="45" w:type="dxa"/>
              <w:bottom w:w="45" w:type="dxa"/>
              <w:right w:w="45" w:type="dxa"/>
            </w:tcMar>
            <w:hideMark/>
          </w:tcPr>
          <w:p w:rsidR="00637180" w:rsidRPr="00F41122" w:rsidRDefault="00637180">
            <w:pPr>
              <w:pStyle w:val="NormalWeb"/>
            </w:pPr>
            <w:r w:rsidRPr="00F41122">
              <w:t>Over-the-Credit-Limit</w:t>
            </w:r>
          </w:p>
        </w:tc>
        <w:tc>
          <w:tcPr>
            <w:tcW w:w="4619" w:type="dxa"/>
            <w:tcBorders>
              <w:top w:val="nil"/>
              <w:left w:val="single" w:sz="6" w:space="0" w:color="000000"/>
              <w:bottom w:val="nil"/>
              <w:right w:val="single" w:sz="6" w:space="0" w:color="000000"/>
            </w:tcBorders>
            <w:tcMar>
              <w:top w:w="45" w:type="dxa"/>
              <w:left w:w="45" w:type="dxa"/>
              <w:bottom w:w="45" w:type="dxa"/>
              <w:right w:w="45" w:type="dxa"/>
            </w:tcMar>
            <w:hideMark/>
          </w:tcPr>
          <w:p w:rsidR="00637180" w:rsidRPr="00F41122" w:rsidRDefault="00637180">
            <w:pPr>
              <w:pStyle w:val="NormalWeb"/>
            </w:pPr>
            <w:r w:rsidRPr="00F41122">
              <w:t>Up to</w:t>
            </w:r>
            <w:r w:rsidRPr="00F41122">
              <w:rPr>
                <w:rStyle w:val="apple-converted-space"/>
              </w:rPr>
              <w:t> </w:t>
            </w:r>
            <w:r w:rsidRPr="00F41122">
              <w:rPr>
                <w:rStyle w:val="Strong"/>
              </w:rPr>
              <w:t>$35.00</w:t>
            </w:r>
            <w:r w:rsidRPr="00F41122">
              <w:t>.</w:t>
            </w:r>
          </w:p>
        </w:tc>
      </w:tr>
      <w:tr w:rsidR="00637180" w:rsidRPr="00F41122" w:rsidTr="00637180">
        <w:tc>
          <w:tcPr>
            <w:tcW w:w="0" w:type="auto"/>
            <w:tcBorders>
              <w:top w:val="nil"/>
              <w:left w:val="single" w:sz="6" w:space="0" w:color="000000"/>
              <w:bottom w:val="nil"/>
              <w:right w:val="single" w:sz="6" w:space="0" w:color="000000"/>
            </w:tcBorders>
            <w:tcMar>
              <w:top w:w="45" w:type="dxa"/>
              <w:left w:w="45" w:type="dxa"/>
              <w:bottom w:w="45" w:type="dxa"/>
              <w:right w:w="45" w:type="dxa"/>
            </w:tcMar>
            <w:hideMark/>
          </w:tcPr>
          <w:p w:rsidR="00637180" w:rsidRPr="00F41122" w:rsidRDefault="00637180">
            <w:pPr>
              <w:pStyle w:val="NormalWeb"/>
            </w:pPr>
            <w:r w:rsidRPr="00F41122">
              <w:t>Return Payment</w:t>
            </w:r>
          </w:p>
        </w:tc>
        <w:tc>
          <w:tcPr>
            <w:tcW w:w="4619" w:type="dxa"/>
            <w:tcBorders>
              <w:top w:val="nil"/>
              <w:left w:val="single" w:sz="6" w:space="0" w:color="000000"/>
              <w:bottom w:val="nil"/>
              <w:right w:val="single" w:sz="6" w:space="0" w:color="000000"/>
            </w:tcBorders>
            <w:tcMar>
              <w:top w:w="45" w:type="dxa"/>
              <w:left w:w="45" w:type="dxa"/>
              <w:bottom w:w="45" w:type="dxa"/>
              <w:right w:w="45" w:type="dxa"/>
            </w:tcMar>
            <w:hideMark/>
          </w:tcPr>
          <w:p w:rsidR="00637180" w:rsidRPr="00F41122" w:rsidRDefault="00637180">
            <w:pPr>
              <w:pStyle w:val="NormalWeb"/>
            </w:pPr>
            <w:r w:rsidRPr="00F41122">
              <w:t>Up to</w:t>
            </w:r>
            <w:r w:rsidRPr="00F41122">
              <w:rPr>
                <w:rStyle w:val="apple-converted-space"/>
              </w:rPr>
              <w:t> </w:t>
            </w:r>
            <w:r w:rsidRPr="00F41122">
              <w:rPr>
                <w:rStyle w:val="Strong"/>
              </w:rPr>
              <w:t>$35.00</w:t>
            </w:r>
            <w:r w:rsidRPr="00F41122">
              <w:t>.</w:t>
            </w:r>
          </w:p>
        </w:tc>
      </w:tr>
      <w:tr w:rsidR="00637180" w:rsidRPr="00F41122" w:rsidTr="00637180">
        <w:tc>
          <w:tcPr>
            <w:tcW w:w="0" w:type="auto"/>
            <w:tcBorders>
              <w:top w:val="nil"/>
              <w:left w:val="single" w:sz="6" w:space="0" w:color="000000"/>
              <w:bottom w:val="nil"/>
              <w:right w:val="single" w:sz="6" w:space="0" w:color="000000"/>
            </w:tcBorders>
            <w:tcMar>
              <w:top w:w="45" w:type="dxa"/>
              <w:left w:w="45" w:type="dxa"/>
              <w:bottom w:w="45" w:type="dxa"/>
              <w:right w:w="45" w:type="dxa"/>
            </w:tcMar>
            <w:hideMark/>
          </w:tcPr>
          <w:p w:rsidR="00637180" w:rsidRPr="00F41122" w:rsidRDefault="00637180">
            <w:pPr>
              <w:pStyle w:val="NormalWeb"/>
            </w:pPr>
            <w:r w:rsidRPr="00F41122">
              <w:t>Return Check</w:t>
            </w:r>
          </w:p>
        </w:tc>
        <w:tc>
          <w:tcPr>
            <w:tcW w:w="4619" w:type="dxa"/>
            <w:tcBorders>
              <w:top w:val="nil"/>
              <w:left w:val="single" w:sz="6" w:space="0" w:color="000000"/>
              <w:bottom w:val="nil"/>
              <w:right w:val="single" w:sz="6" w:space="0" w:color="000000"/>
            </w:tcBorders>
            <w:tcMar>
              <w:top w:w="45" w:type="dxa"/>
              <w:left w:w="45" w:type="dxa"/>
              <w:bottom w:w="45" w:type="dxa"/>
              <w:right w:w="45" w:type="dxa"/>
            </w:tcMar>
            <w:hideMark/>
          </w:tcPr>
          <w:p w:rsidR="00637180" w:rsidRPr="00F41122" w:rsidRDefault="00637180">
            <w:pPr>
              <w:pStyle w:val="NormalWeb"/>
            </w:pPr>
            <w:r w:rsidRPr="00F41122">
              <w:t>Up to</w:t>
            </w:r>
            <w:r w:rsidRPr="00F41122">
              <w:rPr>
                <w:rStyle w:val="apple-converted-space"/>
              </w:rPr>
              <w:t> </w:t>
            </w:r>
            <w:r w:rsidRPr="00F41122">
              <w:rPr>
                <w:rStyle w:val="Strong"/>
              </w:rPr>
              <w:t>$35.00</w:t>
            </w:r>
            <w:r w:rsidRPr="00F41122">
              <w:t>.</w:t>
            </w:r>
          </w:p>
        </w:tc>
      </w:tr>
    </w:tbl>
    <w:p w:rsidR="00637180" w:rsidRPr="00F41122" w:rsidRDefault="00637180" w:rsidP="00637180">
      <w:pPr>
        <w:pStyle w:val="NormalWeb"/>
      </w:pPr>
      <w:r w:rsidRPr="00F41122">
        <w:rPr>
          <w:rStyle w:val="Strong"/>
          <w:color w:val="000000"/>
        </w:rPr>
        <w:t>Loss of Intro APR:</w:t>
      </w:r>
      <w:r w:rsidRPr="00F41122">
        <w:rPr>
          <w:rStyle w:val="apple-converted-space"/>
          <w:color w:val="000000"/>
        </w:rPr>
        <w:t> </w:t>
      </w:r>
      <w:r w:rsidRPr="00F41122">
        <w:rPr>
          <w:color w:val="000000"/>
        </w:rPr>
        <w:t>We will end your introductory APR if any required Minimum Payment is 60 days late, and apply the Penalty APR.</w:t>
      </w:r>
    </w:p>
    <w:p w:rsidR="00637180" w:rsidRPr="00F41122" w:rsidRDefault="00637180" w:rsidP="00637180">
      <w:pPr>
        <w:pStyle w:val="NormalWeb"/>
        <w:rPr>
          <w:color w:val="000000"/>
        </w:rPr>
      </w:pPr>
      <w:r w:rsidRPr="00F41122">
        <w:rPr>
          <w:rStyle w:val="Strong"/>
          <w:color w:val="000000"/>
        </w:rPr>
        <w:t>How We Will Calculate Your Balance:</w:t>
      </w:r>
      <w:r w:rsidRPr="00F41122">
        <w:rPr>
          <w:rStyle w:val="apple-converted-space"/>
          <w:color w:val="000000"/>
        </w:rPr>
        <w:t> </w:t>
      </w:r>
      <w:r w:rsidRPr="00F41122">
        <w:rPr>
          <w:color w:val="000000"/>
        </w:rPr>
        <w:t>We use the daily balance method (including new transactions).</w:t>
      </w:r>
    </w:p>
    <w:p w:rsidR="00637180" w:rsidRPr="00F41122" w:rsidRDefault="00637180" w:rsidP="00637180">
      <w:pPr>
        <w:pStyle w:val="NormalWeb"/>
        <w:rPr>
          <w:color w:val="000000"/>
        </w:rPr>
      </w:pPr>
      <w:r w:rsidRPr="00F41122">
        <w:rPr>
          <w:rStyle w:val="Strong"/>
          <w:color w:val="000000"/>
        </w:rPr>
        <w:t>Prime Rate:</w:t>
      </w:r>
      <w:r w:rsidRPr="00F41122">
        <w:rPr>
          <w:rStyle w:val="apple-converted-space"/>
          <w:color w:val="000000"/>
        </w:rPr>
        <w:t> </w:t>
      </w:r>
      <w:r w:rsidRPr="00F41122">
        <w:rPr>
          <w:color w:val="000000"/>
        </w:rPr>
        <w:t>Variable APRs are based on the 3.25% Prime Rate as of 2/22/2010.</w:t>
      </w:r>
    </w:p>
    <w:p w:rsidR="00637180" w:rsidRPr="00F41122" w:rsidRDefault="00637180" w:rsidP="00637180">
      <w:pPr>
        <w:pStyle w:val="NormalWeb"/>
        <w:rPr>
          <w:color w:val="000000"/>
        </w:rPr>
      </w:pPr>
      <w:proofErr w:type="spellStart"/>
      <w:proofErr w:type="gramStart"/>
      <w:r w:rsidRPr="00F41122">
        <w:rPr>
          <w:color w:val="000000"/>
          <w:vertAlign w:val="superscript"/>
        </w:rPr>
        <w:t>a</w:t>
      </w:r>
      <w:r w:rsidRPr="00F41122">
        <w:rPr>
          <w:color w:val="000000"/>
        </w:rPr>
        <w:t>We</w:t>
      </w:r>
      <w:proofErr w:type="spellEnd"/>
      <w:proofErr w:type="gramEnd"/>
      <w:r w:rsidRPr="00F41122">
        <w:rPr>
          <w:color w:val="000000"/>
        </w:rPr>
        <w:t xml:space="preserve"> add 8.74%, 13.74%, or 18.74% to the Prime Rate to determine the Purchase/Balance Transfer APR.</w:t>
      </w:r>
    </w:p>
    <w:p w:rsidR="00637180" w:rsidRPr="00F41122" w:rsidRDefault="00637180" w:rsidP="00637180">
      <w:pPr>
        <w:pStyle w:val="NormalWeb"/>
        <w:rPr>
          <w:color w:val="000000"/>
        </w:rPr>
      </w:pPr>
      <w:proofErr w:type="spellStart"/>
      <w:proofErr w:type="gramStart"/>
      <w:r w:rsidRPr="00F41122">
        <w:rPr>
          <w:color w:val="000000"/>
          <w:vertAlign w:val="superscript"/>
        </w:rPr>
        <w:t>b</w:t>
      </w:r>
      <w:r w:rsidRPr="00F41122">
        <w:rPr>
          <w:color w:val="000000"/>
        </w:rPr>
        <w:t>We</w:t>
      </w:r>
      <w:proofErr w:type="spellEnd"/>
      <w:proofErr w:type="gramEnd"/>
      <w:r w:rsidRPr="00F41122">
        <w:rPr>
          <w:color w:val="000000"/>
        </w:rPr>
        <w:t xml:space="preserve"> add 15.99% or 19.99% to the Prime Rate to determine the Cash/Overdraft Advance APR.</w:t>
      </w:r>
    </w:p>
    <w:p w:rsidR="00637180" w:rsidRPr="00F41122" w:rsidRDefault="00637180" w:rsidP="00637180">
      <w:pPr>
        <w:pStyle w:val="NormalWeb"/>
        <w:rPr>
          <w:color w:val="000000"/>
        </w:rPr>
      </w:pPr>
      <w:proofErr w:type="spellStart"/>
      <w:proofErr w:type="gramStart"/>
      <w:r w:rsidRPr="00F41122">
        <w:rPr>
          <w:color w:val="000000"/>
          <w:vertAlign w:val="superscript"/>
        </w:rPr>
        <w:t>c</w:t>
      </w:r>
      <w:r w:rsidRPr="00F41122">
        <w:rPr>
          <w:color w:val="000000"/>
        </w:rPr>
        <w:t>We</w:t>
      </w:r>
      <w:proofErr w:type="spellEnd"/>
      <w:proofErr w:type="gramEnd"/>
      <w:r w:rsidRPr="00F41122">
        <w:rPr>
          <w:color w:val="000000"/>
        </w:rPr>
        <w:t xml:space="preserve"> add 26.99% to the Prime Rate to determine the Penalty APR. </w:t>
      </w:r>
      <w:proofErr w:type="gramStart"/>
      <w:r w:rsidRPr="00F41122">
        <w:rPr>
          <w:color w:val="000000"/>
        </w:rPr>
        <w:t>Maximum APR 29.99%.</w:t>
      </w:r>
      <w:proofErr w:type="gramEnd"/>
    </w:p>
    <w:p w:rsidR="00637180" w:rsidRPr="00F41122" w:rsidRDefault="00637180" w:rsidP="00637180">
      <w:pPr>
        <w:pStyle w:val="NormalWeb"/>
        <w:jc w:val="center"/>
        <w:rPr>
          <w:b/>
          <w:bCs/>
          <w:caps/>
          <w:color w:val="000000"/>
        </w:rPr>
      </w:pPr>
      <w:r w:rsidRPr="00F41122">
        <w:rPr>
          <w:rStyle w:val="Strong"/>
          <w:caps/>
          <w:color w:val="000000"/>
        </w:rPr>
        <w:t>TERMS &amp; CONDITIONS</w:t>
      </w:r>
    </w:p>
    <w:p w:rsidR="00637180" w:rsidRPr="00F41122" w:rsidRDefault="00637180" w:rsidP="00637180">
      <w:pPr>
        <w:pStyle w:val="NormalWeb"/>
        <w:rPr>
          <w:color w:val="000000"/>
        </w:rPr>
      </w:pPr>
      <w:r w:rsidRPr="00F41122">
        <w:rPr>
          <w:rStyle w:val="Strong"/>
          <w:color w:val="000000"/>
        </w:rPr>
        <w:t>Authorization:</w:t>
      </w:r>
      <w:r w:rsidRPr="00F41122">
        <w:rPr>
          <w:rStyle w:val="apple-converted-space"/>
          <w:color w:val="000000"/>
        </w:rPr>
        <w:t> </w:t>
      </w:r>
      <w:r w:rsidRPr="00F41122">
        <w:rPr>
          <w:color w:val="000000"/>
        </w:rPr>
        <w:t>When you respond to this credit card offer from Chase Bank USA, N.A. ("Chase", "we", or "us"), you agree to the following:</w:t>
      </w:r>
    </w:p>
    <w:p w:rsidR="00637180" w:rsidRPr="00F41122" w:rsidRDefault="00637180" w:rsidP="00637180">
      <w:pPr>
        <w:pStyle w:val="NormalWeb"/>
        <w:numPr>
          <w:ilvl w:val="0"/>
          <w:numId w:val="3"/>
        </w:numPr>
        <w:rPr>
          <w:color w:val="000000"/>
        </w:rPr>
      </w:pPr>
      <w:r w:rsidRPr="00F41122">
        <w:rPr>
          <w:color w:val="000000"/>
        </w:rPr>
        <w:t>You authorize us to obtain credit bureau reports in connection with your request for an account. If an account is opened, we may obtain credit bureau reports in connection with extensions of credit or the review or collection of your account. If you ask, we will tell you the name and address of each credit bureau from which we obtained a report about you.</w:t>
      </w:r>
    </w:p>
    <w:p w:rsidR="00637180" w:rsidRPr="00F41122" w:rsidRDefault="00637180" w:rsidP="00637180">
      <w:pPr>
        <w:pStyle w:val="NormalWeb"/>
        <w:numPr>
          <w:ilvl w:val="0"/>
          <w:numId w:val="3"/>
        </w:numPr>
        <w:rPr>
          <w:color w:val="000000"/>
        </w:rPr>
      </w:pPr>
      <w:r w:rsidRPr="00F41122">
        <w:rPr>
          <w:color w:val="000000"/>
        </w:rPr>
        <w:t xml:space="preserve">If an account is opened, you will receive a </w:t>
      </w:r>
      <w:proofErr w:type="spellStart"/>
      <w:r w:rsidRPr="00F41122">
        <w:rPr>
          <w:color w:val="000000"/>
        </w:rPr>
        <w:t>Cardmember</w:t>
      </w:r>
      <w:proofErr w:type="spellEnd"/>
      <w:r w:rsidRPr="00F41122">
        <w:rPr>
          <w:color w:val="000000"/>
        </w:rPr>
        <w:t xml:space="preserve"> Agreement with your card(s). By using the account or any card, authorizing their use, or making any payment on the account, you agree to the terms of the </w:t>
      </w:r>
      <w:proofErr w:type="spellStart"/>
      <w:r w:rsidRPr="00F41122">
        <w:rPr>
          <w:color w:val="000000"/>
        </w:rPr>
        <w:t>Cardmember</w:t>
      </w:r>
      <w:proofErr w:type="spellEnd"/>
      <w:r w:rsidRPr="00F41122">
        <w:rPr>
          <w:color w:val="000000"/>
        </w:rPr>
        <w:t xml:space="preserve"> Agreement.</w:t>
      </w:r>
    </w:p>
    <w:p w:rsidR="00637180" w:rsidRPr="00F41122" w:rsidRDefault="00637180" w:rsidP="00637180">
      <w:pPr>
        <w:pStyle w:val="NormalWeb"/>
        <w:numPr>
          <w:ilvl w:val="0"/>
          <w:numId w:val="3"/>
        </w:numPr>
        <w:rPr>
          <w:color w:val="000000"/>
        </w:rPr>
      </w:pPr>
      <w:r w:rsidRPr="00F41122">
        <w:rPr>
          <w:color w:val="000000"/>
        </w:rPr>
        <w:t>Balance transfers will be applied to your account and sent to your designated payee(s) 13 days after your account is opened. During this time period, you may cancel or modify your balance transfer request by calling the number on the back of your card.</w:t>
      </w:r>
    </w:p>
    <w:p w:rsidR="00637180" w:rsidRPr="00F41122" w:rsidRDefault="00637180" w:rsidP="00637180">
      <w:pPr>
        <w:pStyle w:val="NormalWeb"/>
        <w:numPr>
          <w:ilvl w:val="0"/>
          <w:numId w:val="3"/>
        </w:numPr>
        <w:rPr>
          <w:color w:val="000000"/>
        </w:rPr>
      </w:pPr>
      <w:r w:rsidRPr="00F41122">
        <w:rPr>
          <w:rStyle w:val="Strong"/>
          <w:color w:val="000000"/>
        </w:rPr>
        <w:t xml:space="preserve">Rates, fees, and terms may change: We have the right to change the account terms (including the APRs) in accordance with your </w:t>
      </w:r>
      <w:proofErr w:type="spellStart"/>
      <w:r w:rsidRPr="00F41122">
        <w:rPr>
          <w:rStyle w:val="Strong"/>
          <w:color w:val="000000"/>
        </w:rPr>
        <w:t>Cardmember</w:t>
      </w:r>
      <w:proofErr w:type="spellEnd"/>
      <w:r w:rsidRPr="00F41122">
        <w:rPr>
          <w:rStyle w:val="Strong"/>
          <w:color w:val="000000"/>
        </w:rPr>
        <w:t xml:space="preserve"> Agreement.</w:t>
      </w:r>
    </w:p>
    <w:p w:rsidR="00637180" w:rsidRPr="00F41122" w:rsidRDefault="00637180" w:rsidP="00637180">
      <w:pPr>
        <w:pStyle w:val="NormalWeb"/>
        <w:rPr>
          <w:color w:val="000000"/>
        </w:rPr>
      </w:pPr>
      <w:r w:rsidRPr="00F41122">
        <w:rPr>
          <w:color w:val="000000"/>
        </w:rPr>
        <w:t>Before we approve you for a credit card, we will review your credit report and the information you provide with your response to confirm that you meet the criteria for this offer. Based on this review, you may receive a card with different costs or you may not receive a card.</w:t>
      </w:r>
    </w:p>
    <w:p w:rsidR="00637180" w:rsidRPr="00F41122" w:rsidRDefault="00637180" w:rsidP="00637180">
      <w:pPr>
        <w:pStyle w:val="NormalWeb"/>
        <w:rPr>
          <w:color w:val="000000"/>
        </w:rPr>
      </w:pPr>
      <w:r w:rsidRPr="00F41122">
        <w:rPr>
          <w:color w:val="000000"/>
        </w:rPr>
        <w:t>You must be at least 18 years old to qualify (19 in AL and NE).</w:t>
      </w:r>
    </w:p>
    <w:p w:rsidR="00637180" w:rsidRPr="00F41122" w:rsidRDefault="00637180" w:rsidP="00637180">
      <w:pPr>
        <w:pStyle w:val="NormalWeb"/>
        <w:rPr>
          <w:color w:val="000000"/>
        </w:rPr>
      </w:pPr>
      <w:r w:rsidRPr="00F41122">
        <w:rPr>
          <w:color w:val="000000"/>
        </w:rPr>
        <w:lastRenderedPageBreak/>
        <w:t>We reserve the right to change the benefit features associated with your card at any time.</w:t>
      </w:r>
    </w:p>
    <w:p w:rsidR="00637180" w:rsidRPr="00F41122" w:rsidRDefault="00637180" w:rsidP="00637180">
      <w:pPr>
        <w:pStyle w:val="NormalWeb"/>
        <w:rPr>
          <w:color w:val="000000"/>
        </w:rPr>
      </w:pPr>
      <w:r w:rsidRPr="00F41122">
        <w:rPr>
          <w:rStyle w:val="Strong"/>
          <w:color w:val="000000"/>
        </w:rPr>
        <w:t>Ohio Residents:</w:t>
      </w:r>
      <w:r w:rsidRPr="00F41122">
        <w:rPr>
          <w:rStyle w:val="apple-converted-space"/>
          <w:color w:val="000000"/>
        </w:rPr>
        <w:t> </w:t>
      </w:r>
      <w:r w:rsidRPr="00F41122">
        <w:rPr>
          <w:color w:val="000000"/>
        </w:rPr>
        <w:t>The Ohio laws against discrimination require that all creditors make credit equally available to all customers, and that credit reporting agencies maintain separate histories on each individual upon request. The Ohio Civil Rights Commission administers compliance with the law.</w:t>
      </w:r>
    </w:p>
    <w:p w:rsidR="00637180" w:rsidRPr="00F41122" w:rsidRDefault="00637180" w:rsidP="00637180">
      <w:pPr>
        <w:pStyle w:val="NormalWeb"/>
        <w:rPr>
          <w:color w:val="000000"/>
        </w:rPr>
      </w:pPr>
      <w:r w:rsidRPr="00F41122">
        <w:rPr>
          <w:rStyle w:val="Strong"/>
          <w:color w:val="000000"/>
        </w:rPr>
        <w:t>Notice to Married Wisconsin Residents:</w:t>
      </w:r>
      <w:r w:rsidRPr="00F41122">
        <w:rPr>
          <w:rStyle w:val="apple-converted-space"/>
          <w:color w:val="000000"/>
        </w:rPr>
        <w:t> </w:t>
      </w:r>
      <w:r w:rsidRPr="00F41122">
        <w:rPr>
          <w:color w:val="000000"/>
        </w:rPr>
        <w:t>No provision of any marital property agreement, unilateral statement or court decree adversely affects our rights, unless you give us a copy of such agreement, statement or court order before we grant you credit, or we have actual knowledge of the adverse obligation. All obligations on this account will be incurred in the interest of your marriage or family. You understand that we may be required to give notice of this account to your spouse.</w:t>
      </w:r>
      <w:r w:rsidRPr="00F41122">
        <w:rPr>
          <w:rStyle w:val="apple-converted-space"/>
          <w:color w:val="000000"/>
        </w:rPr>
        <w:t> </w:t>
      </w:r>
      <w:r w:rsidRPr="00F41122">
        <w:rPr>
          <w:rStyle w:val="Strong"/>
          <w:color w:val="000000"/>
        </w:rPr>
        <w:t xml:space="preserve">Married Wisconsin residents must furnish their (the applicant's) name and social security number as well as the name and address of their spouse to </w:t>
      </w:r>
      <w:proofErr w:type="spellStart"/>
      <w:r w:rsidRPr="00F41122">
        <w:rPr>
          <w:rStyle w:val="Strong"/>
          <w:color w:val="000000"/>
        </w:rPr>
        <w:t>Cardmember</w:t>
      </w:r>
      <w:proofErr w:type="spellEnd"/>
      <w:r w:rsidRPr="00F41122">
        <w:rPr>
          <w:rStyle w:val="Strong"/>
          <w:color w:val="000000"/>
        </w:rPr>
        <w:t xml:space="preserve"> Service at P.O. Box 15218, Wilmington, DE 19850-5218.</w:t>
      </w:r>
    </w:p>
    <w:p w:rsidR="00637180" w:rsidRPr="00F41122" w:rsidRDefault="00637180" w:rsidP="00637180">
      <w:pPr>
        <w:pStyle w:val="NormalWeb"/>
        <w:rPr>
          <w:color w:val="000000"/>
        </w:rPr>
      </w:pPr>
      <w:r w:rsidRPr="00F41122">
        <w:rPr>
          <w:rStyle w:val="Strong"/>
          <w:color w:val="000000"/>
        </w:rPr>
        <w:t>Balance Transfer Option:</w:t>
      </w:r>
      <w:r w:rsidRPr="00F41122">
        <w:rPr>
          <w:rStyle w:val="apple-converted-space"/>
          <w:color w:val="000000"/>
        </w:rPr>
        <w:t> </w:t>
      </w:r>
      <w:r w:rsidRPr="00F41122">
        <w:rPr>
          <w:color w:val="000000"/>
        </w:rPr>
        <w:t>The Visa</w:t>
      </w:r>
      <w:proofErr w:type="gramStart"/>
      <w:r w:rsidRPr="00F41122">
        <w:rPr>
          <w:color w:val="000000"/>
        </w:rPr>
        <w:t>,®</w:t>
      </w:r>
      <w:proofErr w:type="gramEnd"/>
      <w:r w:rsidRPr="00F41122">
        <w:rPr>
          <w:color w:val="000000"/>
        </w:rPr>
        <w:t xml:space="preserve"> MasterCard,® Discover,® American Express® or any store card account(s) you list will show a credit, reducing the amount you owe them by the amount you transferred. The available credit on your new account will be reduced, just as if you had made a purchase. The balance transfer amount(s) will show up on your initial statement for your new account. Your other credit card account(s) will not be closed even if you transfer your entire balance(s). If you want to close an account, please contact the other credit card company directly. It may take up to three weeks to set up your account and post the balance transfers. Therefore, you may need to make payments to your other account(s) to keep them current. Balance transfers are contingent upon issuance of your new account. There will be a transaction fee for each balance transfer if one is disclosed in the Pricing Information that accompanies this offer. We may decline to process any full or partial balance transfer request and will not process a balance transfer request from any other account or loan that we or any of our affiliates issued, or balance transfer checks made out to cash or to any </w:t>
      </w:r>
      <w:proofErr w:type="spellStart"/>
      <w:r w:rsidRPr="00F41122">
        <w:rPr>
          <w:color w:val="000000"/>
        </w:rPr>
        <w:t>cardmember</w:t>
      </w:r>
      <w:proofErr w:type="spellEnd"/>
      <w:r w:rsidRPr="00F41122">
        <w:rPr>
          <w:color w:val="000000"/>
        </w:rPr>
        <w:t>. In the event that your request(s) exceed the amount we approve to process, we will fulfill your requests in numeric order as listed in your response. We may not use your total credit line when honoring balance transfers.</w:t>
      </w:r>
    </w:p>
    <w:p w:rsidR="00637180" w:rsidRPr="00F41122" w:rsidRDefault="00637180" w:rsidP="00637180">
      <w:pPr>
        <w:pStyle w:val="NormalWeb"/>
        <w:rPr>
          <w:color w:val="000000"/>
        </w:rPr>
      </w:pPr>
      <w:r w:rsidRPr="00F41122">
        <w:rPr>
          <w:rStyle w:val="Strong"/>
          <w:color w:val="000000"/>
        </w:rPr>
        <w:t>Affiliate Information Sharing: Chase Bank USA, N.A. is part of JPMorgan Chase &amp; Co. We and our JPMorgan Chase &amp; Co. affiliates may share information about you among affiliates in order to offer products and services of interest to you. If you would prefer that we do not share information from your application, credit bureaus or third parties, please call us at 1-888-868-8618. For more information about our information handling policies, visit us on the web at: http://www.chase.com/privacypolicy.</w:t>
      </w:r>
    </w:p>
    <w:p w:rsidR="00637180" w:rsidRPr="00F41122" w:rsidRDefault="00637180" w:rsidP="00637180">
      <w:pPr>
        <w:pStyle w:val="NormalWeb"/>
        <w:rPr>
          <w:color w:val="000000"/>
        </w:rPr>
      </w:pPr>
      <w:proofErr w:type="gramStart"/>
      <w:r w:rsidRPr="00F41122">
        <w:rPr>
          <w:rStyle w:val="Strong"/>
          <w:color w:val="000000"/>
        </w:rPr>
        <w:t>Replying to this offer:</w:t>
      </w:r>
      <w:r w:rsidRPr="00F41122">
        <w:rPr>
          <w:rStyle w:val="apple-converted-space"/>
          <w:b/>
          <w:bCs/>
          <w:color w:val="000000"/>
        </w:rPr>
        <w:t> </w:t>
      </w:r>
      <w:r w:rsidRPr="00F41122">
        <w:rPr>
          <w:color w:val="000000"/>
        </w:rPr>
        <w:t>If you omit any information on the form, we may deny your request for an account.</w:t>
      </w:r>
      <w:proofErr w:type="gramEnd"/>
      <w:r w:rsidRPr="00F41122">
        <w:rPr>
          <w:color w:val="000000"/>
        </w:rPr>
        <w:t xml:space="preserve"> If applicable, Chase </w:t>
      </w:r>
      <w:proofErr w:type="spellStart"/>
      <w:r w:rsidRPr="00F41122">
        <w:rPr>
          <w:color w:val="000000"/>
        </w:rPr>
        <w:t>cardmembers</w:t>
      </w:r>
      <w:proofErr w:type="spellEnd"/>
      <w:r w:rsidRPr="00F41122">
        <w:rPr>
          <w:color w:val="000000"/>
        </w:rPr>
        <w:t xml:space="preserve"> who currently have or have had a Chase credit card in any Rewards Program associated with this offer or have received a similar bonus offer, may not be eligible for a second Chase credit card in the same Rewards Program, or for any bonus offer. Chase </w:t>
      </w:r>
      <w:proofErr w:type="spellStart"/>
      <w:r w:rsidRPr="00F41122">
        <w:rPr>
          <w:color w:val="000000"/>
        </w:rPr>
        <w:t>cardmembers</w:t>
      </w:r>
      <w:proofErr w:type="spellEnd"/>
      <w:r w:rsidRPr="00F41122">
        <w:rPr>
          <w:color w:val="000000"/>
        </w:rPr>
        <w:t xml:space="preserve"> currently receiving promotional pricing, or Chase </w:t>
      </w:r>
      <w:proofErr w:type="spellStart"/>
      <w:r w:rsidRPr="00F41122">
        <w:rPr>
          <w:color w:val="000000"/>
        </w:rPr>
        <w:t>cardmembers</w:t>
      </w:r>
      <w:proofErr w:type="spellEnd"/>
      <w:r w:rsidRPr="00F41122">
        <w:rPr>
          <w:color w:val="000000"/>
        </w:rPr>
        <w:t xml:space="preserve"> with a history of only using their current or prior Chase card for promotional pricing offers, are not eligible for a second Chase credit card with promotional pricing. You must have a valid permanent home address within the 50 United States or the District of Columbia. The </w:t>
      </w:r>
      <w:r w:rsidRPr="00F41122">
        <w:rPr>
          <w:color w:val="000000"/>
        </w:rPr>
        <w:lastRenderedPageBreak/>
        <w:t xml:space="preserve">information about the costs of the card described in this form is accurate as of 2/22/2010. This information may have changed after that date. To find out what may have changed, write to us at </w:t>
      </w:r>
      <w:proofErr w:type="spellStart"/>
      <w:r w:rsidRPr="00F41122">
        <w:rPr>
          <w:color w:val="000000"/>
        </w:rPr>
        <w:t>Cardmember</w:t>
      </w:r>
      <w:proofErr w:type="spellEnd"/>
      <w:r w:rsidRPr="00F41122">
        <w:rPr>
          <w:color w:val="000000"/>
        </w:rPr>
        <w:t xml:space="preserve"> Service, P.O. Box 15043, Wilmington, DE 19850-5043.</w:t>
      </w:r>
    </w:p>
    <w:p w:rsidR="00637180" w:rsidRPr="00F41122" w:rsidRDefault="00637180" w:rsidP="00637180">
      <w:pPr>
        <w:pStyle w:val="NormalWeb"/>
        <w:rPr>
          <w:color w:val="000000"/>
        </w:rPr>
      </w:pPr>
      <w:r w:rsidRPr="00F41122">
        <w:rPr>
          <w:rStyle w:val="Strong"/>
          <w:color w:val="000000"/>
        </w:rPr>
        <w:t>USA Patriot Act:</w:t>
      </w:r>
      <w:r w:rsidRPr="00F41122">
        <w:rPr>
          <w:rStyle w:val="apple-converted-space"/>
          <w:color w:val="000000"/>
        </w:rPr>
        <w:t> </w:t>
      </w:r>
      <w:r w:rsidRPr="00F41122">
        <w:rPr>
          <w:color w:val="000000"/>
        </w:rPr>
        <w:t>To help the government fight the funding of terrorism and money laundering activities, Federal law requires all financial institutions to obtain, verify, and record information that identifies each person who opens an account. What this means to you: When you open an account, we will ask for your name, address, date of birth, and other information that will allow us to identify you. We may also ask to see your driver's license or other identifying documents.</w:t>
      </w:r>
    </w:p>
    <w:p w:rsidR="00637180" w:rsidRPr="00F41122" w:rsidRDefault="00637180" w:rsidP="00637180">
      <w:pPr>
        <w:pStyle w:val="copyright"/>
        <w:jc w:val="center"/>
        <w:rPr>
          <w:color w:val="000000"/>
        </w:rPr>
      </w:pPr>
      <w:r w:rsidRPr="00F41122">
        <w:rPr>
          <w:color w:val="000000"/>
        </w:rPr>
        <w:t>© 2010 JPMorgan Chase &amp; Co.</w:t>
      </w:r>
    </w:p>
    <w:p w:rsidR="00637180" w:rsidRPr="00F41122" w:rsidRDefault="00F41122">
      <w:pPr>
        <w:rPr>
          <w:rFonts w:ascii="Times New Roman" w:hAnsi="Times New Roman" w:cs="Times New Roman"/>
          <w:sz w:val="20"/>
          <w:szCs w:val="20"/>
        </w:rPr>
      </w:pPr>
      <w:r w:rsidRPr="00F41122">
        <w:rPr>
          <w:rFonts w:ascii="Times New Roman" w:hAnsi="Times New Roman" w:cs="Times New Roman"/>
          <w:sz w:val="20"/>
          <w:szCs w:val="20"/>
        </w:rPr>
        <w:t xml:space="preserve">Retrieved from: </w:t>
      </w:r>
      <w:hyperlink r:id="rId8" w:history="1">
        <w:r w:rsidRPr="00F41122">
          <w:rPr>
            <w:rStyle w:val="Hyperlink"/>
            <w:sz w:val="20"/>
            <w:szCs w:val="20"/>
          </w:rPr>
          <w:t>https://www.firstusa.com/cgi-bin/webcgi/webserve.cgi?card=D8B4&amp;page_type=appterms</w:t>
        </w:r>
      </w:hyperlink>
    </w:p>
    <w:sectPr w:rsidR="00637180" w:rsidRPr="00F41122" w:rsidSect="00F41122">
      <w:pgSz w:w="12240" w:h="15840" w:code="1"/>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87E44"/>
    <w:multiLevelType w:val="multilevel"/>
    <w:tmpl w:val="75DA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3F25DD"/>
    <w:multiLevelType w:val="multilevel"/>
    <w:tmpl w:val="A4EE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696A6A"/>
    <w:multiLevelType w:val="multilevel"/>
    <w:tmpl w:val="6616E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DD"/>
    <w:rsid w:val="00000D24"/>
    <w:rsid w:val="00000E64"/>
    <w:rsid w:val="00004EDB"/>
    <w:rsid w:val="000153B4"/>
    <w:rsid w:val="00016BED"/>
    <w:rsid w:val="00017853"/>
    <w:rsid w:val="00017BFB"/>
    <w:rsid w:val="00020640"/>
    <w:rsid w:val="0002073F"/>
    <w:rsid w:val="0002207C"/>
    <w:rsid w:val="000222BE"/>
    <w:rsid w:val="00023048"/>
    <w:rsid w:val="00023566"/>
    <w:rsid w:val="000263FF"/>
    <w:rsid w:val="00027ABA"/>
    <w:rsid w:val="00030ADC"/>
    <w:rsid w:val="0003339B"/>
    <w:rsid w:val="000372C2"/>
    <w:rsid w:val="00040014"/>
    <w:rsid w:val="0004070D"/>
    <w:rsid w:val="000436B6"/>
    <w:rsid w:val="00043772"/>
    <w:rsid w:val="00045060"/>
    <w:rsid w:val="00046F6D"/>
    <w:rsid w:val="00047832"/>
    <w:rsid w:val="00047EE1"/>
    <w:rsid w:val="00052E7D"/>
    <w:rsid w:val="00053F12"/>
    <w:rsid w:val="00054896"/>
    <w:rsid w:val="0006122D"/>
    <w:rsid w:val="00061B80"/>
    <w:rsid w:val="00061E67"/>
    <w:rsid w:val="00061F2E"/>
    <w:rsid w:val="0006647F"/>
    <w:rsid w:val="000666DE"/>
    <w:rsid w:val="0006778B"/>
    <w:rsid w:val="00073C61"/>
    <w:rsid w:val="000743F7"/>
    <w:rsid w:val="00074CBE"/>
    <w:rsid w:val="00086FFF"/>
    <w:rsid w:val="00087E14"/>
    <w:rsid w:val="00090704"/>
    <w:rsid w:val="00090C3F"/>
    <w:rsid w:val="00091EFB"/>
    <w:rsid w:val="00092403"/>
    <w:rsid w:val="00092AAF"/>
    <w:rsid w:val="000932FE"/>
    <w:rsid w:val="00096898"/>
    <w:rsid w:val="00096C96"/>
    <w:rsid w:val="000A0D4D"/>
    <w:rsid w:val="000A1017"/>
    <w:rsid w:val="000A1121"/>
    <w:rsid w:val="000A1462"/>
    <w:rsid w:val="000A14BA"/>
    <w:rsid w:val="000B0971"/>
    <w:rsid w:val="000B0B0A"/>
    <w:rsid w:val="000B1110"/>
    <w:rsid w:val="000B1162"/>
    <w:rsid w:val="000B2C57"/>
    <w:rsid w:val="000B311E"/>
    <w:rsid w:val="000B3552"/>
    <w:rsid w:val="000B49A0"/>
    <w:rsid w:val="000C0C72"/>
    <w:rsid w:val="000C10F7"/>
    <w:rsid w:val="000C45C2"/>
    <w:rsid w:val="000C5FD3"/>
    <w:rsid w:val="000C6999"/>
    <w:rsid w:val="000D00B2"/>
    <w:rsid w:val="000D0149"/>
    <w:rsid w:val="000D16DD"/>
    <w:rsid w:val="000D178A"/>
    <w:rsid w:val="000D2B9F"/>
    <w:rsid w:val="000D3277"/>
    <w:rsid w:val="000D3D9C"/>
    <w:rsid w:val="000D4226"/>
    <w:rsid w:val="000D4C6C"/>
    <w:rsid w:val="000D5785"/>
    <w:rsid w:val="000D5E7A"/>
    <w:rsid w:val="000D7B05"/>
    <w:rsid w:val="000E5EFC"/>
    <w:rsid w:val="000E6C6B"/>
    <w:rsid w:val="000E6DA9"/>
    <w:rsid w:val="000F1005"/>
    <w:rsid w:val="000F22E0"/>
    <w:rsid w:val="000F3D57"/>
    <w:rsid w:val="000F4387"/>
    <w:rsid w:val="000F7F5E"/>
    <w:rsid w:val="00105564"/>
    <w:rsid w:val="00105D7E"/>
    <w:rsid w:val="00105FDA"/>
    <w:rsid w:val="001063C5"/>
    <w:rsid w:val="001108AA"/>
    <w:rsid w:val="00111F8B"/>
    <w:rsid w:val="001143AF"/>
    <w:rsid w:val="0011456D"/>
    <w:rsid w:val="00114E9B"/>
    <w:rsid w:val="00115926"/>
    <w:rsid w:val="00120668"/>
    <w:rsid w:val="001228D9"/>
    <w:rsid w:val="00127BFB"/>
    <w:rsid w:val="0013043F"/>
    <w:rsid w:val="001322BE"/>
    <w:rsid w:val="001324D7"/>
    <w:rsid w:val="00135019"/>
    <w:rsid w:val="00135B9E"/>
    <w:rsid w:val="00142F1A"/>
    <w:rsid w:val="00142FF6"/>
    <w:rsid w:val="001442B6"/>
    <w:rsid w:val="00146C05"/>
    <w:rsid w:val="00151B0D"/>
    <w:rsid w:val="00152456"/>
    <w:rsid w:val="001525A1"/>
    <w:rsid w:val="0015327B"/>
    <w:rsid w:val="00154CF4"/>
    <w:rsid w:val="00156B19"/>
    <w:rsid w:val="00164A50"/>
    <w:rsid w:val="00164DCB"/>
    <w:rsid w:val="00165FED"/>
    <w:rsid w:val="001664DA"/>
    <w:rsid w:val="00171077"/>
    <w:rsid w:val="0017474F"/>
    <w:rsid w:val="0017490A"/>
    <w:rsid w:val="00175622"/>
    <w:rsid w:val="00176679"/>
    <w:rsid w:val="0018184E"/>
    <w:rsid w:val="00182C94"/>
    <w:rsid w:val="00185F77"/>
    <w:rsid w:val="0018708A"/>
    <w:rsid w:val="00187ACD"/>
    <w:rsid w:val="00190BA7"/>
    <w:rsid w:val="001927DA"/>
    <w:rsid w:val="0019397A"/>
    <w:rsid w:val="001A0A77"/>
    <w:rsid w:val="001A34D8"/>
    <w:rsid w:val="001A3B85"/>
    <w:rsid w:val="001A4637"/>
    <w:rsid w:val="001A48B7"/>
    <w:rsid w:val="001A5D8E"/>
    <w:rsid w:val="001A6D46"/>
    <w:rsid w:val="001B0396"/>
    <w:rsid w:val="001B0EA9"/>
    <w:rsid w:val="001B12A7"/>
    <w:rsid w:val="001B1F5D"/>
    <w:rsid w:val="001B3F90"/>
    <w:rsid w:val="001B59F3"/>
    <w:rsid w:val="001B7540"/>
    <w:rsid w:val="001C11F8"/>
    <w:rsid w:val="001C1664"/>
    <w:rsid w:val="001C1FFD"/>
    <w:rsid w:val="001C20AC"/>
    <w:rsid w:val="001C2FB8"/>
    <w:rsid w:val="001C53BD"/>
    <w:rsid w:val="001C5BCB"/>
    <w:rsid w:val="001C5DE2"/>
    <w:rsid w:val="001C5F23"/>
    <w:rsid w:val="001C6F65"/>
    <w:rsid w:val="001C74DE"/>
    <w:rsid w:val="001D1CA7"/>
    <w:rsid w:val="001D3110"/>
    <w:rsid w:val="001D41E5"/>
    <w:rsid w:val="001D7075"/>
    <w:rsid w:val="001E0775"/>
    <w:rsid w:val="001E149E"/>
    <w:rsid w:val="001E1657"/>
    <w:rsid w:val="001E19A6"/>
    <w:rsid w:val="001E1E00"/>
    <w:rsid w:val="001E244A"/>
    <w:rsid w:val="001E2F09"/>
    <w:rsid w:val="001E3E5D"/>
    <w:rsid w:val="001E46F6"/>
    <w:rsid w:val="001E5FA0"/>
    <w:rsid w:val="001E66EA"/>
    <w:rsid w:val="001E6CD1"/>
    <w:rsid w:val="001E7842"/>
    <w:rsid w:val="001E7B5B"/>
    <w:rsid w:val="001F01E7"/>
    <w:rsid w:val="001F021A"/>
    <w:rsid w:val="001F1AF0"/>
    <w:rsid w:val="001F3B85"/>
    <w:rsid w:val="001F4550"/>
    <w:rsid w:val="001F567F"/>
    <w:rsid w:val="001F580D"/>
    <w:rsid w:val="001F5EE1"/>
    <w:rsid w:val="001F62A7"/>
    <w:rsid w:val="001F6B52"/>
    <w:rsid w:val="0020406E"/>
    <w:rsid w:val="002059A3"/>
    <w:rsid w:val="00211461"/>
    <w:rsid w:val="0021185D"/>
    <w:rsid w:val="0021219D"/>
    <w:rsid w:val="002131BE"/>
    <w:rsid w:val="0021432A"/>
    <w:rsid w:val="00221B7F"/>
    <w:rsid w:val="0023291F"/>
    <w:rsid w:val="00232EF2"/>
    <w:rsid w:val="0023348D"/>
    <w:rsid w:val="0024098E"/>
    <w:rsid w:val="0024205F"/>
    <w:rsid w:val="00242A07"/>
    <w:rsid w:val="00244270"/>
    <w:rsid w:val="00245383"/>
    <w:rsid w:val="00250B27"/>
    <w:rsid w:val="002526C9"/>
    <w:rsid w:val="002532FF"/>
    <w:rsid w:val="002539D4"/>
    <w:rsid w:val="002552D1"/>
    <w:rsid w:val="00255634"/>
    <w:rsid w:val="002558AC"/>
    <w:rsid w:val="00260F22"/>
    <w:rsid w:val="0026126C"/>
    <w:rsid w:val="002641C3"/>
    <w:rsid w:val="00266C05"/>
    <w:rsid w:val="002716BD"/>
    <w:rsid w:val="002722FB"/>
    <w:rsid w:val="002736F0"/>
    <w:rsid w:val="00274E41"/>
    <w:rsid w:val="002759AA"/>
    <w:rsid w:val="00281DC8"/>
    <w:rsid w:val="00285027"/>
    <w:rsid w:val="00286D7C"/>
    <w:rsid w:val="0029282B"/>
    <w:rsid w:val="002A03E2"/>
    <w:rsid w:val="002A0B8E"/>
    <w:rsid w:val="002A299C"/>
    <w:rsid w:val="002A2EFC"/>
    <w:rsid w:val="002A2F2F"/>
    <w:rsid w:val="002A3325"/>
    <w:rsid w:val="002A41A0"/>
    <w:rsid w:val="002A51AF"/>
    <w:rsid w:val="002A5DB9"/>
    <w:rsid w:val="002A6598"/>
    <w:rsid w:val="002A7EAC"/>
    <w:rsid w:val="002B042C"/>
    <w:rsid w:val="002B148F"/>
    <w:rsid w:val="002B3F1A"/>
    <w:rsid w:val="002B5487"/>
    <w:rsid w:val="002B5C08"/>
    <w:rsid w:val="002B6DEF"/>
    <w:rsid w:val="002B6F9F"/>
    <w:rsid w:val="002B7B7C"/>
    <w:rsid w:val="002C0094"/>
    <w:rsid w:val="002C3FE1"/>
    <w:rsid w:val="002C462B"/>
    <w:rsid w:val="002C464B"/>
    <w:rsid w:val="002C53C8"/>
    <w:rsid w:val="002C67E8"/>
    <w:rsid w:val="002C7BF9"/>
    <w:rsid w:val="002D0AFE"/>
    <w:rsid w:val="002D155D"/>
    <w:rsid w:val="002D193B"/>
    <w:rsid w:val="002D1BBE"/>
    <w:rsid w:val="002D1D7A"/>
    <w:rsid w:val="002D232C"/>
    <w:rsid w:val="002D3DD8"/>
    <w:rsid w:val="002D5343"/>
    <w:rsid w:val="002D53B5"/>
    <w:rsid w:val="002D6F6F"/>
    <w:rsid w:val="002E04E4"/>
    <w:rsid w:val="002E290D"/>
    <w:rsid w:val="002E6404"/>
    <w:rsid w:val="002E69AA"/>
    <w:rsid w:val="002E6F29"/>
    <w:rsid w:val="002F0D3B"/>
    <w:rsid w:val="002F1B49"/>
    <w:rsid w:val="002F2AD3"/>
    <w:rsid w:val="002F6166"/>
    <w:rsid w:val="002F6975"/>
    <w:rsid w:val="0030208A"/>
    <w:rsid w:val="00302D1D"/>
    <w:rsid w:val="00303F0D"/>
    <w:rsid w:val="003060C3"/>
    <w:rsid w:val="00311601"/>
    <w:rsid w:val="00311CC2"/>
    <w:rsid w:val="00323D7F"/>
    <w:rsid w:val="003245E9"/>
    <w:rsid w:val="003247B3"/>
    <w:rsid w:val="00331D22"/>
    <w:rsid w:val="003348C4"/>
    <w:rsid w:val="00336F6A"/>
    <w:rsid w:val="00342D7E"/>
    <w:rsid w:val="0034320E"/>
    <w:rsid w:val="00343674"/>
    <w:rsid w:val="003440A8"/>
    <w:rsid w:val="0034699D"/>
    <w:rsid w:val="0035007C"/>
    <w:rsid w:val="0035074F"/>
    <w:rsid w:val="00351E77"/>
    <w:rsid w:val="00352973"/>
    <w:rsid w:val="00352A00"/>
    <w:rsid w:val="00354810"/>
    <w:rsid w:val="00354F6C"/>
    <w:rsid w:val="00361617"/>
    <w:rsid w:val="00362083"/>
    <w:rsid w:val="003649C8"/>
    <w:rsid w:val="00364ED6"/>
    <w:rsid w:val="003667BB"/>
    <w:rsid w:val="003673E4"/>
    <w:rsid w:val="003726F8"/>
    <w:rsid w:val="00373D9F"/>
    <w:rsid w:val="00374F7B"/>
    <w:rsid w:val="003750C2"/>
    <w:rsid w:val="00375384"/>
    <w:rsid w:val="003808F1"/>
    <w:rsid w:val="00381031"/>
    <w:rsid w:val="00383627"/>
    <w:rsid w:val="00384DAB"/>
    <w:rsid w:val="0038501C"/>
    <w:rsid w:val="003863B6"/>
    <w:rsid w:val="00387093"/>
    <w:rsid w:val="00387225"/>
    <w:rsid w:val="00391D67"/>
    <w:rsid w:val="003928B4"/>
    <w:rsid w:val="00393FE9"/>
    <w:rsid w:val="00394A22"/>
    <w:rsid w:val="003962DB"/>
    <w:rsid w:val="0039707E"/>
    <w:rsid w:val="00397A53"/>
    <w:rsid w:val="003A33AF"/>
    <w:rsid w:val="003A3BD4"/>
    <w:rsid w:val="003A4F34"/>
    <w:rsid w:val="003A6924"/>
    <w:rsid w:val="003A6E0E"/>
    <w:rsid w:val="003A7B1F"/>
    <w:rsid w:val="003B1B2C"/>
    <w:rsid w:val="003B242F"/>
    <w:rsid w:val="003B3272"/>
    <w:rsid w:val="003B662E"/>
    <w:rsid w:val="003B7083"/>
    <w:rsid w:val="003C0303"/>
    <w:rsid w:val="003C1606"/>
    <w:rsid w:val="003C282B"/>
    <w:rsid w:val="003C3130"/>
    <w:rsid w:val="003C3C72"/>
    <w:rsid w:val="003C3EBE"/>
    <w:rsid w:val="003C4588"/>
    <w:rsid w:val="003C5103"/>
    <w:rsid w:val="003C69D5"/>
    <w:rsid w:val="003D18DC"/>
    <w:rsid w:val="003D19C7"/>
    <w:rsid w:val="003D2675"/>
    <w:rsid w:val="003D5B93"/>
    <w:rsid w:val="003E03B1"/>
    <w:rsid w:val="003E2E0B"/>
    <w:rsid w:val="003E3C7F"/>
    <w:rsid w:val="003E64E7"/>
    <w:rsid w:val="003E65C7"/>
    <w:rsid w:val="003F2083"/>
    <w:rsid w:val="003F2808"/>
    <w:rsid w:val="003F2F69"/>
    <w:rsid w:val="003F34E0"/>
    <w:rsid w:val="003F5202"/>
    <w:rsid w:val="003F6DD5"/>
    <w:rsid w:val="003F793F"/>
    <w:rsid w:val="00400CFD"/>
    <w:rsid w:val="00400D26"/>
    <w:rsid w:val="00400EAD"/>
    <w:rsid w:val="00401893"/>
    <w:rsid w:val="0040588D"/>
    <w:rsid w:val="004060FB"/>
    <w:rsid w:val="0040632C"/>
    <w:rsid w:val="00407B57"/>
    <w:rsid w:val="004104A0"/>
    <w:rsid w:val="00410AE2"/>
    <w:rsid w:val="00410C48"/>
    <w:rsid w:val="00413B63"/>
    <w:rsid w:val="00414BEB"/>
    <w:rsid w:val="004255D7"/>
    <w:rsid w:val="004268C3"/>
    <w:rsid w:val="004270CC"/>
    <w:rsid w:val="00427542"/>
    <w:rsid w:val="00427861"/>
    <w:rsid w:val="0043030D"/>
    <w:rsid w:val="00433998"/>
    <w:rsid w:val="00434AD6"/>
    <w:rsid w:val="00437198"/>
    <w:rsid w:val="00440400"/>
    <w:rsid w:val="00441FB8"/>
    <w:rsid w:val="0044285D"/>
    <w:rsid w:val="00443AE0"/>
    <w:rsid w:val="00447E9C"/>
    <w:rsid w:val="00447F0F"/>
    <w:rsid w:val="00450536"/>
    <w:rsid w:val="00450F81"/>
    <w:rsid w:val="00451491"/>
    <w:rsid w:val="00451537"/>
    <w:rsid w:val="0045551A"/>
    <w:rsid w:val="00456E61"/>
    <w:rsid w:val="00457610"/>
    <w:rsid w:val="00457B46"/>
    <w:rsid w:val="00457E5A"/>
    <w:rsid w:val="00460DE1"/>
    <w:rsid w:val="00461097"/>
    <w:rsid w:val="004610C0"/>
    <w:rsid w:val="004619C1"/>
    <w:rsid w:val="00462828"/>
    <w:rsid w:val="00464478"/>
    <w:rsid w:val="00464F28"/>
    <w:rsid w:val="004669E2"/>
    <w:rsid w:val="004673E0"/>
    <w:rsid w:val="004719BB"/>
    <w:rsid w:val="00471A80"/>
    <w:rsid w:val="00475B31"/>
    <w:rsid w:val="00481544"/>
    <w:rsid w:val="00481D75"/>
    <w:rsid w:val="00492037"/>
    <w:rsid w:val="00493BD2"/>
    <w:rsid w:val="004947DD"/>
    <w:rsid w:val="00494F84"/>
    <w:rsid w:val="0049571F"/>
    <w:rsid w:val="004A0574"/>
    <w:rsid w:val="004A139E"/>
    <w:rsid w:val="004A2FEA"/>
    <w:rsid w:val="004A697F"/>
    <w:rsid w:val="004B156F"/>
    <w:rsid w:val="004B4A03"/>
    <w:rsid w:val="004C0BB6"/>
    <w:rsid w:val="004C1DFB"/>
    <w:rsid w:val="004C278C"/>
    <w:rsid w:val="004C3F3F"/>
    <w:rsid w:val="004C461F"/>
    <w:rsid w:val="004C56CF"/>
    <w:rsid w:val="004C5DAF"/>
    <w:rsid w:val="004D3A52"/>
    <w:rsid w:val="004D44ED"/>
    <w:rsid w:val="004D4EB7"/>
    <w:rsid w:val="004D4F61"/>
    <w:rsid w:val="004D68EB"/>
    <w:rsid w:val="004D6E46"/>
    <w:rsid w:val="004D71D4"/>
    <w:rsid w:val="004E05B9"/>
    <w:rsid w:val="004E1685"/>
    <w:rsid w:val="004E1E93"/>
    <w:rsid w:val="004E2794"/>
    <w:rsid w:val="004E3DEE"/>
    <w:rsid w:val="004E77FA"/>
    <w:rsid w:val="004F138E"/>
    <w:rsid w:val="004F2524"/>
    <w:rsid w:val="004F2D81"/>
    <w:rsid w:val="004F5979"/>
    <w:rsid w:val="004F5B73"/>
    <w:rsid w:val="004F5DA7"/>
    <w:rsid w:val="004F68AF"/>
    <w:rsid w:val="004F6AC9"/>
    <w:rsid w:val="004F7EB0"/>
    <w:rsid w:val="005014EA"/>
    <w:rsid w:val="005033B9"/>
    <w:rsid w:val="005036CD"/>
    <w:rsid w:val="005111A3"/>
    <w:rsid w:val="00511C40"/>
    <w:rsid w:val="00512215"/>
    <w:rsid w:val="00512936"/>
    <w:rsid w:val="00513797"/>
    <w:rsid w:val="005140B8"/>
    <w:rsid w:val="00514496"/>
    <w:rsid w:val="00514C02"/>
    <w:rsid w:val="00525BC9"/>
    <w:rsid w:val="00525F20"/>
    <w:rsid w:val="0052614E"/>
    <w:rsid w:val="005301DA"/>
    <w:rsid w:val="005303FC"/>
    <w:rsid w:val="005305C3"/>
    <w:rsid w:val="005313FB"/>
    <w:rsid w:val="00532C42"/>
    <w:rsid w:val="00532FA0"/>
    <w:rsid w:val="0053694A"/>
    <w:rsid w:val="00537168"/>
    <w:rsid w:val="00537B6E"/>
    <w:rsid w:val="00537FEE"/>
    <w:rsid w:val="00540EB5"/>
    <w:rsid w:val="0054179C"/>
    <w:rsid w:val="0054228F"/>
    <w:rsid w:val="00543AF2"/>
    <w:rsid w:val="00545B3F"/>
    <w:rsid w:val="00545D17"/>
    <w:rsid w:val="005526DE"/>
    <w:rsid w:val="00553275"/>
    <w:rsid w:val="0055366E"/>
    <w:rsid w:val="00554FA8"/>
    <w:rsid w:val="0055544E"/>
    <w:rsid w:val="00555A71"/>
    <w:rsid w:val="00555E03"/>
    <w:rsid w:val="00560CF8"/>
    <w:rsid w:val="00560D5B"/>
    <w:rsid w:val="005625AB"/>
    <w:rsid w:val="005651C9"/>
    <w:rsid w:val="0056543A"/>
    <w:rsid w:val="0056599B"/>
    <w:rsid w:val="00566D30"/>
    <w:rsid w:val="005716E2"/>
    <w:rsid w:val="005723B2"/>
    <w:rsid w:val="00575FD7"/>
    <w:rsid w:val="00577A85"/>
    <w:rsid w:val="00580E45"/>
    <w:rsid w:val="00581393"/>
    <w:rsid w:val="005817BF"/>
    <w:rsid w:val="00583AF8"/>
    <w:rsid w:val="00583F71"/>
    <w:rsid w:val="00583FF3"/>
    <w:rsid w:val="00584643"/>
    <w:rsid w:val="0058575A"/>
    <w:rsid w:val="00585922"/>
    <w:rsid w:val="005859FB"/>
    <w:rsid w:val="00592304"/>
    <w:rsid w:val="00595FEB"/>
    <w:rsid w:val="005A04B4"/>
    <w:rsid w:val="005A1AB2"/>
    <w:rsid w:val="005A6172"/>
    <w:rsid w:val="005A6459"/>
    <w:rsid w:val="005A750E"/>
    <w:rsid w:val="005A7D1E"/>
    <w:rsid w:val="005B0DC1"/>
    <w:rsid w:val="005B2749"/>
    <w:rsid w:val="005C106C"/>
    <w:rsid w:val="005C2C81"/>
    <w:rsid w:val="005D33AE"/>
    <w:rsid w:val="005D3FF2"/>
    <w:rsid w:val="005D52B5"/>
    <w:rsid w:val="005D68A2"/>
    <w:rsid w:val="005E0211"/>
    <w:rsid w:val="005E0530"/>
    <w:rsid w:val="005E084F"/>
    <w:rsid w:val="005E1E77"/>
    <w:rsid w:val="005E1F29"/>
    <w:rsid w:val="005E6CDB"/>
    <w:rsid w:val="005E7FBB"/>
    <w:rsid w:val="005F0F72"/>
    <w:rsid w:val="005F2C68"/>
    <w:rsid w:val="005F33D4"/>
    <w:rsid w:val="005F44E2"/>
    <w:rsid w:val="005F453B"/>
    <w:rsid w:val="005F5DC9"/>
    <w:rsid w:val="005F616E"/>
    <w:rsid w:val="005F63C4"/>
    <w:rsid w:val="005F6919"/>
    <w:rsid w:val="005F6D13"/>
    <w:rsid w:val="005F7E6D"/>
    <w:rsid w:val="0060114D"/>
    <w:rsid w:val="006021C3"/>
    <w:rsid w:val="006024A9"/>
    <w:rsid w:val="00603068"/>
    <w:rsid w:val="00604A3A"/>
    <w:rsid w:val="006059DB"/>
    <w:rsid w:val="00606AC0"/>
    <w:rsid w:val="006108FE"/>
    <w:rsid w:val="0061183E"/>
    <w:rsid w:val="00612809"/>
    <w:rsid w:val="006144E3"/>
    <w:rsid w:val="00614A55"/>
    <w:rsid w:val="00614AE4"/>
    <w:rsid w:val="00614F8B"/>
    <w:rsid w:val="006161B4"/>
    <w:rsid w:val="00616F72"/>
    <w:rsid w:val="006175C0"/>
    <w:rsid w:val="00617C41"/>
    <w:rsid w:val="0062386F"/>
    <w:rsid w:val="006240FF"/>
    <w:rsid w:val="00624663"/>
    <w:rsid w:val="00624BEF"/>
    <w:rsid w:val="00627278"/>
    <w:rsid w:val="0063088F"/>
    <w:rsid w:val="00630D59"/>
    <w:rsid w:val="00631134"/>
    <w:rsid w:val="00631764"/>
    <w:rsid w:val="006321A4"/>
    <w:rsid w:val="0063243C"/>
    <w:rsid w:val="00632F33"/>
    <w:rsid w:val="006344BA"/>
    <w:rsid w:val="00634768"/>
    <w:rsid w:val="00634E23"/>
    <w:rsid w:val="00635F5B"/>
    <w:rsid w:val="0063714C"/>
    <w:rsid w:val="00637180"/>
    <w:rsid w:val="00637535"/>
    <w:rsid w:val="0064004D"/>
    <w:rsid w:val="00640186"/>
    <w:rsid w:val="00642D69"/>
    <w:rsid w:val="00642F79"/>
    <w:rsid w:val="00646664"/>
    <w:rsid w:val="00647304"/>
    <w:rsid w:val="00651336"/>
    <w:rsid w:val="006533A3"/>
    <w:rsid w:val="0065467C"/>
    <w:rsid w:val="006569C8"/>
    <w:rsid w:val="0066159B"/>
    <w:rsid w:val="00663A80"/>
    <w:rsid w:val="00664510"/>
    <w:rsid w:val="006666D3"/>
    <w:rsid w:val="00667300"/>
    <w:rsid w:val="00670CF9"/>
    <w:rsid w:val="00673902"/>
    <w:rsid w:val="00674773"/>
    <w:rsid w:val="00677B7D"/>
    <w:rsid w:val="0068191D"/>
    <w:rsid w:val="00685D24"/>
    <w:rsid w:val="00686EF4"/>
    <w:rsid w:val="0069107C"/>
    <w:rsid w:val="00695965"/>
    <w:rsid w:val="00695A1B"/>
    <w:rsid w:val="00695ABF"/>
    <w:rsid w:val="00695E11"/>
    <w:rsid w:val="00697883"/>
    <w:rsid w:val="006A0BCE"/>
    <w:rsid w:val="006A1193"/>
    <w:rsid w:val="006A1B5C"/>
    <w:rsid w:val="006A472A"/>
    <w:rsid w:val="006A6C37"/>
    <w:rsid w:val="006B14F0"/>
    <w:rsid w:val="006B4024"/>
    <w:rsid w:val="006B5BFF"/>
    <w:rsid w:val="006B68B0"/>
    <w:rsid w:val="006C01B4"/>
    <w:rsid w:val="006C0388"/>
    <w:rsid w:val="006C43BC"/>
    <w:rsid w:val="006C6823"/>
    <w:rsid w:val="006D0002"/>
    <w:rsid w:val="006E0CE5"/>
    <w:rsid w:val="006E6D1F"/>
    <w:rsid w:val="006E781E"/>
    <w:rsid w:val="006E795E"/>
    <w:rsid w:val="006F02DB"/>
    <w:rsid w:val="006F247C"/>
    <w:rsid w:val="006F2AE6"/>
    <w:rsid w:val="006F3B75"/>
    <w:rsid w:val="006F627D"/>
    <w:rsid w:val="007006AE"/>
    <w:rsid w:val="00703233"/>
    <w:rsid w:val="00703390"/>
    <w:rsid w:val="00705672"/>
    <w:rsid w:val="00705A9A"/>
    <w:rsid w:val="00706388"/>
    <w:rsid w:val="00707206"/>
    <w:rsid w:val="00707F2B"/>
    <w:rsid w:val="0071078C"/>
    <w:rsid w:val="0071241C"/>
    <w:rsid w:val="0071300D"/>
    <w:rsid w:val="00713080"/>
    <w:rsid w:val="00714316"/>
    <w:rsid w:val="00715B4F"/>
    <w:rsid w:val="00721374"/>
    <w:rsid w:val="00724FE8"/>
    <w:rsid w:val="007257F4"/>
    <w:rsid w:val="00725B9B"/>
    <w:rsid w:val="007273C9"/>
    <w:rsid w:val="00731773"/>
    <w:rsid w:val="007318DD"/>
    <w:rsid w:val="00731D9F"/>
    <w:rsid w:val="00733D61"/>
    <w:rsid w:val="00734485"/>
    <w:rsid w:val="00735A6D"/>
    <w:rsid w:val="00735F30"/>
    <w:rsid w:val="00736D07"/>
    <w:rsid w:val="00737342"/>
    <w:rsid w:val="00740418"/>
    <w:rsid w:val="007434EC"/>
    <w:rsid w:val="00744E15"/>
    <w:rsid w:val="007454B4"/>
    <w:rsid w:val="007506BC"/>
    <w:rsid w:val="00750D3C"/>
    <w:rsid w:val="00751621"/>
    <w:rsid w:val="00751B67"/>
    <w:rsid w:val="00753031"/>
    <w:rsid w:val="007543E1"/>
    <w:rsid w:val="0075514D"/>
    <w:rsid w:val="007574A5"/>
    <w:rsid w:val="0076097E"/>
    <w:rsid w:val="00762077"/>
    <w:rsid w:val="00767547"/>
    <w:rsid w:val="00767891"/>
    <w:rsid w:val="00774D52"/>
    <w:rsid w:val="0077576F"/>
    <w:rsid w:val="00776711"/>
    <w:rsid w:val="00776F9E"/>
    <w:rsid w:val="00777531"/>
    <w:rsid w:val="00780E54"/>
    <w:rsid w:val="00781253"/>
    <w:rsid w:val="00781C20"/>
    <w:rsid w:val="007835C5"/>
    <w:rsid w:val="00784DDC"/>
    <w:rsid w:val="00786FAD"/>
    <w:rsid w:val="0078708D"/>
    <w:rsid w:val="00792B1B"/>
    <w:rsid w:val="007936FA"/>
    <w:rsid w:val="00793C00"/>
    <w:rsid w:val="00793FDF"/>
    <w:rsid w:val="00794367"/>
    <w:rsid w:val="007943BC"/>
    <w:rsid w:val="00795615"/>
    <w:rsid w:val="007A5066"/>
    <w:rsid w:val="007A525B"/>
    <w:rsid w:val="007A59F8"/>
    <w:rsid w:val="007B27E6"/>
    <w:rsid w:val="007B3052"/>
    <w:rsid w:val="007B53A4"/>
    <w:rsid w:val="007B7F93"/>
    <w:rsid w:val="007C01F1"/>
    <w:rsid w:val="007C168A"/>
    <w:rsid w:val="007C2E8E"/>
    <w:rsid w:val="007C321E"/>
    <w:rsid w:val="007C4877"/>
    <w:rsid w:val="007C5570"/>
    <w:rsid w:val="007C5653"/>
    <w:rsid w:val="007C5E94"/>
    <w:rsid w:val="007D2243"/>
    <w:rsid w:val="007D2594"/>
    <w:rsid w:val="007D761C"/>
    <w:rsid w:val="007D778A"/>
    <w:rsid w:val="007E1698"/>
    <w:rsid w:val="007E1947"/>
    <w:rsid w:val="007E21CB"/>
    <w:rsid w:val="007E22E6"/>
    <w:rsid w:val="007E3002"/>
    <w:rsid w:val="007E4470"/>
    <w:rsid w:val="007E4586"/>
    <w:rsid w:val="007E4D55"/>
    <w:rsid w:val="007E53DC"/>
    <w:rsid w:val="007E7D37"/>
    <w:rsid w:val="007F060C"/>
    <w:rsid w:val="007F2DF2"/>
    <w:rsid w:val="007F35CD"/>
    <w:rsid w:val="007F59C2"/>
    <w:rsid w:val="007F5EA2"/>
    <w:rsid w:val="007F6E91"/>
    <w:rsid w:val="007F775D"/>
    <w:rsid w:val="00805419"/>
    <w:rsid w:val="00806781"/>
    <w:rsid w:val="00807C3B"/>
    <w:rsid w:val="00810059"/>
    <w:rsid w:val="00810298"/>
    <w:rsid w:val="00810541"/>
    <w:rsid w:val="00814567"/>
    <w:rsid w:val="008148D5"/>
    <w:rsid w:val="008154F4"/>
    <w:rsid w:val="0082105F"/>
    <w:rsid w:val="008211D9"/>
    <w:rsid w:val="00821F7C"/>
    <w:rsid w:val="008232E7"/>
    <w:rsid w:val="00823412"/>
    <w:rsid w:val="00823A26"/>
    <w:rsid w:val="00827220"/>
    <w:rsid w:val="008311C3"/>
    <w:rsid w:val="00831307"/>
    <w:rsid w:val="008314E1"/>
    <w:rsid w:val="00833BFF"/>
    <w:rsid w:val="00835D4D"/>
    <w:rsid w:val="008367F4"/>
    <w:rsid w:val="008415DA"/>
    <w:rsid w:val="008429E1"/>
    <w:rsid w:val="00842B21"/>
    <w:rsid w:val="00844431"/>
    <w:rsid w:val="008457E2"/>
    <w:rsid w:val="0085183F"/>
    <w:rsid w:val="00851E79"/>
    <w:rsid w:val="00852C72"/>
    <w:rsid w:val="00852DE1"/>
    <w:rsid w:val="00852F53"/>
    <w:rsid w:val="00853BA0"/>
    <w:rsid w:val="00861F71"/>
    <w:rsid w:val="00862473"/>
    <w:rsid w:val="00862616"/>
    <w:rsid w:val="008653EA"/>
    <w:rsid w:val="0086695C"/>
    <w:rsid w:val="0086757E"/>
    <w:rsid w:val="00872436"/>
    <w:rsid w:val="00873C55"/>
    <w:rsid w:val="0087406F"/>
    <w:rsid w:val="00874AC4"/>
    <w:rsid w:val="00877ACF"/>
    <w:rsid w:val="00881561"/>
    <w:rsid w:val="00883F62"/>
    <w:rsid w:val="00883FC6"/>
    <w:rsid w:val="00885520"/>
    <w:rsid w:val="00885666"/>
    <w:rsid w:val="00887056"/>
    <w:rsid w:val="0088777C"/>
    <w:rsid w:val="00890850"/>
    <w:rsid w:val="00890D53"/>
    <w:rsid w:val="00897D17"/>
    <w:rsid w:val="008A6B14"/>
    <w:rsid w:val="008A734C"/>
    <w:rsid w:val="008B13CF"/>
    <w:rsid w:val="008B22F9"/>
    <w:rsid w:val="008B3790"/>
    <w:rsid w:val="008B403E"/>
    <w:rsid w:val="008B4909"/>
    <w:rsid w:val="008B4D74"/>
    <w:rsid w:val="008B4E46"/>
    <w:rsid w:val="008B52EC"/>
    <w:rsid w:val="008B57FA"/>
    <w:rsid w:val="008B6B08"/>
    <w:rsid w:val="008C04AD"/>
    <w:rsid w:val="008C0684"/>
    <w:rsid w:val="008C4C6F"/>
    <w:rsid w:val="008C654B"/>
    <w:rsid w:val="008D3D91"/>
    <w:rsid w:val="008D4130"/>
    <w:rsid w:val="008D4BDD"/>
    <w:rsid w:val="008D79F8"/>
    <w:rsid w:val="008D7CA7"/>
    <w:rsid w:val="008E07BF"/>
    <w:rsid w:val="008E0CC6"/>
    <w:rsid w:val="008E0D14"/>
    <w:rsid w:val="008E1AB9"/>
    <w:rsid w:val="008E4D49"/>
    <w:rsid w:val="008E73EF"/>
    <w:rsid w:val="008F0850"/>
    <w:rsid w:val="008F08C4"/>
    <w:rsid w:val="008F0D41"/>
    <w:rsid w:val="008F1BC1"/>
    <w:rsid w:val="00901B37"/>
    <w:rsid w:val="00901C73"/>
    <w:rsid w:val="0090392E"/>
    <w:rsid w:val="009049A6"/>
    <w:rsid w:val="00904D91"/>
    <w:rsid w:val="009053B9"/>
    <w:rsid w:val="00905C05"/>
    <w:rsid w:val="009062BC"/>
    <w:rsid w:val="00906747"/>
    <w:rsid w:val="009116FF"/>
    <w:rsid w:val="00911FB8"/>
    <w:rsid w:val="00913CDE"/>
    <w:rsid w:val="009142FD"/>
    <w:rsid w:val="00917E06"/>
    <w:rsid w:val="009200A7"/>
    <w:rsid w:val="0092303F"/>
    <w:rsid w:val="009247F8"/>
    <w:rsid w:val="00925119"/>
    <w:rsid w:val="00933F22"/>
    <w:rsid w:val="00934551"/>
    <w:rsid w:val="009345FA"/>
    <w:rsid w:val="00941D69"/>
    <w:rsid w:val="00942E66"/>
    <w:rsid w:val="00943716"/>
    <w:rsid w:val="0094569C"/>
    <w:rsid w:val="009544C6"/>
    <w:rsid w:val="00954503"/>
    <w:rsid w:val="0095532D"/>
    <w:rsid w:val="009558B3"/>
    <w:rsid w:val="009564B5"/>
    <w:rsid w:val="009574FD"/>
    <w:rsid w:val="0095794D"/>
    <w:rsid w:val="009608CD"/>
    <w:rsid w:val="00964044"/>
    <w:rsid w:val="00965067"/>
    <w:rsid w:val="00965FF0"/>
    <w:rsid w:val="00966085"/>
    <w:rsid w:val="00966D4C"/>
    <w:rsid w:val="0096769B"/>
    <w:rsid w:val="00970F3C"/>
    <w:rsid w:val="00972DCB"/>
    <w:rsid w:val="00972F94"/>
    <w:rsid w:val="00974981"/>
    <w:rsid w:val="00975A17"/>
    <w:rsid w:val="00976DF2"/>
    <w:rsid w:val="0098116E"/>
    <w:rsid w:val="00984086"/>
    <w:rsid w:val="009844A2"/>
    <w:rsid w:val="009856DD"/>
    <w:rsid w:val="00990D5B"/>
    <w:rsid w:val="00991745"/>
    <w:rsid w:val="00996D5A"/>
    <w:rsid w:val="009A423F"/>
    <w:rsid w:val="009A4802"/>
    <w:rsid w:val="009A4D7C"/>
    <w:rsid w:val="009A61BF"/>
    <w:rsid w:val="009A63BF"/>
    <w:rsid w:val="009B02E4"/>
    <w:rsid w:val="009B15D8"/>
    <w:rsid w:val="009B39BA"/>
    <w:rsid w:val="009B39BE"/>
    <w:rsid w:val="009B5040"/>
    <w:rsid w:val="009B6D66"/>
    <w:rsid w:val="009B7902"/>
    <w:rsid w:val="009C10F5"/>
    <w:rsid w:val="009C1F11"/>
    <w:rsid w:val="009C2C47"/>
    <w:rsid w:val="009C3800"/>
    <w:rsid w:val="009C46EC"/>
    <w:rsid w:val="009C5003"/>
    <w:rsid w:val="009C64C9"/>
    <w:rsid w:val="009C699E"/>
    <w:rsid w:val="009D55C5"/>
    <w:rsid w:val="009D6504"/>
    <w:rsid w:val="009D6948"/>
    <w:rsid w:val="009D6A8F"/>
    <w:rsid w:val="009D77CD"/>
    <w:rsid w:val="009E03E1"/>
    <w:rsid w:val="009E4F9B"/>
    <w:rsid w:val="009E550C"/>
    <w:rsid w:val="009E73DD"/>
    <w:rsid w:val="009F053D"/>
    <w:rsid w:val="009F19CF"/>
    <w:rsid w:val="009F27F4"/>
    <w:rsid w:val="009F47C8"/>
    <w:rsid w:val="009F4FCA"/>
    <w:rsid w:val="009F6E42"/>
    <w:rsid w:val="009F6F41"/>
    <w:rsid w:val="00A00345"/>
    <w:rsid w:val="00A01ABF"/>
    <w:rsid w:val="00A01FC4"/>
    <w:rsid w:val="00A0292F"/>
    <w:rsid w:val="00A03756"/>
    <w:rsid w:val="00A067CC"/>
    <w:rsid w:val="00A10941"/>
    <w:rsid w:val="00A118AD"/>
    <w:rsid w:val="00A13619"/>
    <w:rsid w:val="00A139BE"/>
    <w:rsid w:val="00A15838"/>
    <w:rsid w:val="00A1610C"/>
    <w:rsid w:val="00A2002A"/>
    <w:rsid w:val="00A204FB"/>
    <w:rsid w:val="00A2226B"/>
    <w:rsid w:val="00A25097"/>
    <w:rsid w:val="00A255FF"/>
    <w:rsid w:val="00A311D6"/>
    <w:rsid w:val="00A32C99"/>
    <w:rsid w:val="00A40F61"/>
    <w:rsid w:val="00A42025"/>
    <w:rsid w:val="00A43260"/>
    <w:rsid w:val="00A45241"/>
    <w:rsid w:val="00A468D1"/>
    <w:rsid w:val="00A4746E"/>
    <w:rsid w:val="00A51CE0"/>
    <w:rsid w:val="00A53378"/>
    <w:rsid w:val="00A56456"/>
    <w:rsid w:val="00A5686B"/>
    <w:rsid w:val="00A56E97"/>
    <w:rsid w:val="00A62A40"/>
    <w:rsid w:val="00A669AC"/>
    <w:rsid w:val="00A70A80"/>
    <w:rsid w:val="00A7226E"/>
    <w:rsid w:val="00A72869"/>
    <w:rsid w:val="00A72EB6"/>
    <w:rsid w:val="00A7406D"/>
    <w:rsid w:val="00A75175"/>
    <w:rsid w:val="00A77BCB"/>
    <w:rsid w:val="00A80C05"/>
    <w:rsid w:val="00A839E0"/>
    <w:rsid w:val="00A86598"/>
    <w:rsid w:val="00A9108D"/>
    <w:rsid w:val="00A92470"/>
    <w:rsid w:val="00A9347E"/>
    <w:rsid w:val="00A935EC"/>
    <w:rsid w:val="00A93639"/>
    <w:rsid w:val="00A938A4"/>
    <w:rsid w:val="00A94768"/>
    <w:rsid w:val="00A96321"/>
    <w:rsid w:val="00AA0064"/>
    <w:rsid w:val="00AA09EF"/>
    <w:rsid w:val="00AA1B69"/>
    <w:rsid w:val="00AA1E31"/>
    <w:rsid w:val="00AA230F"/>
    <w:rsid w:val="00AA2BC3"/>
    <w:rsid w:val="00AA4399"/>
    <w:rsid w:val="00AA59EF"/>
    <w:rsid w:val="00AA60F7"/>
    <w:rsid w:val="00AB074D"/>
    <w:rsid w:val="00AB2C97"/>
    <w:rsid w:val="00AB4014"/>
    <w:rsid w:val="00AB7A66"/>
    <w:rsid w:val="00AC5C12"/>
    <w:rsid w:val="00AC5FEA"/>
    <w:rsid w:val="00AC7011"/>
    <w:rsid w:val="00AC784A"/>
    <w:rsid w:val="00AD19A4"/>
    <w:rsid w:val="00AD1E3A"/>
    <w:rsid w:val="00AD3EDB"/>
    <w:rsid w:val="00AD61F9"/>
    <w:rsid w:val="00AD758B"/>
    <w:rsid w:val="00AE3B54"/>
    <w:rsid w:val="00AE4186"/>
    <w:rsid w:val="00AE49EE"/>
    <w:rsid w:val="00AE6DC0"/>
    <w:rsid w:val="00AF10BA"/>
    <w:rsid w:val="00AF18D3"/>
    <w:rsid w:val="00AF1AAB"/>
    <w:rsid w:val="00AF4363"/>
    <w:rsid w:val="00AF578C"/>
    <w:rsid w:val="00B01C2A"/>
    <w:rsid w:val="00B02D71"/>
    <w:rsid w:val="00B03759"/>
    <w:rsid w:val="00B0493F"/>
    <w:rsid w:val="00B05AE3"/>
    <w:rsid w:val="00B1178F"/>
    <w:rsid w:val="00B11D03"/>
    <w:rsid w:val="00B11F14"/>
    <w:rsid w:val="00B122AE"/>
    <w:rsid w:val="00B12998"/>
    <w:rsid w:val="00B13009"/>
    <w:rsid w:val="00B13EBC"/>
    <w:rsid w:val="00B20821"/>
    <w:rsid w:val="00B21427"/>
    <w:rsid w:val="00B2188E"/>
    <w:rsid w:val="00B23789"/>
    <w:rsid w:val="00B24CE9"/>
    <w:rsid w:val="00B25240"/>
    <w:rsid w:val="00B25B9C"/>
    <w:rsid w:val="00B27058"/>
    <w:rsid w:val="00B302D8"/>
    <w:rsid w:val="00B3232A"/>
    <w:rsid w:val="00B3284D"/>
    <w:rsid w:val="00B32F5A"/>
    <w:rsid w:val="00B339C6"/>
    <w:rsid w:val="00B357FF"/>
    <w:rsid w:val="00B35991"/>
    <w:rsid w:val="00B35B36"/>
    <w:rsid w:val="00B4019B"/>
    <w:rsid w:val="00B407A8"/>
    <w:rsid w:val="00B40F45"/>
    <w:rsid w:val="00B427EE"/>
    <w:rsid w:val="00B42880"/>
    <w:rsid w:val="00B452E7"/>
    <w:rsid w:val="00B4587B"/>
    <w:rsid w:val="00B45885"/>
    <w:rsid w:val="00B46F00"/>
    <w:rsid w:val="00B50AC3"/>
    <w:rsid w:val="00B51888"/>
    <w:rsid w:val="00B52D01"/>
    <w:rsid w:val="00B57936"/>
    <w:rsid w:val="00B621EA"/>
    <w:rsid w:val="00B6329C"/>
    <w:rsid w:val="00B6346B"/>
    <w:rsid w:val="00B65A40"/>
    <w:rsid w:val="00B65B67"/>
    <w:rsid w:val="00B706AC"/>
    <w:rsid w:val="00B7078C"/>
    <w:rsid w:val="00B713ED"/>
    <w:rsid w:val="00B721E1"/>
    <w:rsid w:val="00B75970"/>
    <w:rsid w:val="00B80E1B"/>
    <w:rsid w:val="00B8206F"/>
    <w:rsid w:val="00B8283B"/>
    <w:rsid w:val="00B83802"/>
    <w:rsid w:val="00B860A5"/>
    <w:rsid w:val="00B86E46"/>
    <w:rsid w:val="00B871BF"/>
    <w:rsid w:val="00B92420"/>
    <w:rsid w:val="00B97773"/>
    <w:rsid w:val="00BA360C"/>
    <w:rsid w:val="00BA3E63"/>
    <w:rsid w:val="00BA482A"/>
    <w:rsid w:val="00BA5A5D"/>
    <w:rsid w:val="00BA5E43"/>
    <w:rsid w:val="00BB1364"/>
    <w:rsid w:val="00BB2D10"/>
    <w:rsid w:val="00BB3965"/>
    <w:rsid w:val="00BB62BC"/>
    <w:rsid w:val="00BB652A"/>
    <w:rsid w:val="00BB6723"/>
    <w:rsid w:val="00BB6779"/>
    <w:rsid w:val="00BC088E"/>
    <w:rsid w:val="00BC344E"/>
    <w:rsid w:val="00BD0ADB"/>
    <w:rsid w:val="00BD3708"/>
    <w:rsid w:val="00BD4E99"/>
    <w:rsid w:val="00BD5CEA"/>
    <w:rsid w:val="00BD6A1C"/>
    <w:rsid w:val="00BD6D32"/>
    <w:rsid w:val="00BD7CD5"/>
    <w:rsid w:val="00BE0771"/>
    <w:rsid w:val="00BE0F2F"/>
    <w:rsid w:val="00BE12E4"/>
    <w:rsid w:val="00BE1716"/>
    <w:rsid w:val="00BE2C63"/>
    <w:rsid w:val="00BE3A93"/>
    <w:rsid w:val="00BE4144"/>
    <w:rsid w:val="00BE6439"/>
    <w:rsid w:val="00BF06E8"/>
    <w:rsid w:val="00BF2EAB"/>
    <w:rsid w:val="00BF3131"/>
    <w:rsid w:val="00BF3484"/>
    <w:rsid w:val="00BF56C9"/>
    <w:rsid w:val="00BF7AD5"/>
    <w:rsid w:val="00C03FDF"/>
    <w:rsid w:val="00C04F03"/>
    <w:rsid w:val="00C06A00"/>
    <w:rsid w:val="00C12325"/>
    <w:rsid w:val="00C12F47"/>
    <w:rsid w:val="00C14B92"/>
    <w:rsid w:val="00C1568F"/>
    <w:rsid w:val="00C15BED"/>
    <w:rsid w:val="00C15D2A"/>
    <w:rsid w:val="00C216BE"/>
    <w:rsid w:val="00C237BA"/>
    <w:rsid w:val="00C27660"/>
    <w:rsid w:val="00C300F3"/>
    <w:rsid w:val="00C31018"/>
    <w:rsid w:val="00C3315C"/>
    <w:rsid w:val="00C35FBF"/>
    <w:rsid w:val="00C36270"/>
    <w:rsid w:val="00C36AAD"/>
    <w:rsid w:val="00C41686"/>
    <w:rsid w:val="00C432DB"/>
    <w:rsid w:val="00C4390A"/>
    <w:rsid w:val="00C4439A"/>
    <w:rsid w:val="00C44D0C"/>
    <w:rsid w:val="00C50177"/>
    <w:rsid w:val="00C50C27"/>
    <w:rsid w:val="00C578D1"/>
    <w:rsid w:val="00C61CBD"/>
    <w:rsid w:val="00C62A7D"/>
    <w:rsid w:val="00C634FB"/>
    <w:rsid w:val="00C639AA"/>
    <w:rsid w:val="00C64893"/>
    <w:rsid w:val="00C67E54"/>
    <w:rsid w:val="00C718ED"/>
    <w:rsid w:val="00C735C2"/>
    <w:rsid w:val="00C735F9"/>
    <w:rsid w:val="00C7497E"/>
    <w:rsid w:val="00C74DE5"/>
    <w:rsid w:val="00C74F84"/>
    <w:rsid w:val="00C7515D"/>
    <w:rsid w:val="00C75529"/>
    <w:rsid w:val="00C75CCD"/>
    <w:rsid w:val="00C75D85"/>
    <w:rsid w:val="00C763DB"/>
    <w:rsid w:val="00C76704"/>
    <w:rsid w:val="00C82490"/>
    <w:rsid w:val="00C82A36"/>
    <w:rsid w:val="00C87763"/>
    <w:rsid w:val="00C87CB4"/>
    <w:rsid w:val="00C87F36"/>
    <w:rsid w:val="00C90169"/>
    <w:rsid w:val="00C92C47"/>
    <w:rsid w:val="00C94AE3"/>
    <w:rsid w:val="00C96922"/>
    <w:rsid w:val="00CA229F"/>
    <w:rsid w:val="00CA27A8"/>
    <w:rsid w:val="00CA357B"/>
    <w:rsid w:val="00CA38A8"/>
    <w:rsid w:val="00CA38C5"/>
    <w:rsid w:val="00CA3F64"/>
    <w:rsid w:val="00CA5696"/>
    <w:rsid w:val="00CA5D55"/>
    <w:rsid w:val="00CB093C"/>
    <w:rsid w:val="00CB0B14"/>
    <w:rsid w:val="00CB214C"/>
    <w:rsid w:val="00CB26D6"/>
    <w:rsid w:val="00CB26E4"/>
    <w:rsid w:val="00CB37DE"/>
    <w:rsid w:val="00CB40C9"/>
    <w:rsid w:val="00CB681E"/>
    <w:rsid w:val="00CC037E"/>
    <w:rsid w:val="00CC0480"/>
    <w:rsid w:val="00CC4A6E"/>
    <w:rsid w:val="00CC5C84"/>
    <w:rsid w:val="00CC7705"/>
    <w:rsid w:val="00CD0949"/>
    <w:rsid w:val="00CD1C68"/>
    <w:rsid w:val="00CD1FC6"/>
    <w:rsid w:val="00CD3303"/>
    <w:rsid w:val="00CD5317"/>
    <w:rsid w:val="00CD6A6D"/>
    <w:rsid w:val="00CE11C7"/>
    <w:rsid w:val="00CE121E"/>
    <w:rsid w:val="00CE14CE"/>
    <w:rsid w:val="00CE1AD8"/>
    <w:rsid w:val="00CE2C12"/>
    <w:rsid w:val="00CE3161"/>
    <w:rsid w:val="00CE7704"/>
    <w:rsid w:val="00CF120A"/>
    <w:rsid w:val="00CF172E"/>
    <w:rsid w:val="00CF1C09"/>
    <w:rsid w:val="00CF22E0"/>
    <w:rsid w:val="00CF3357"/>
    <w:rsid w:val="00CF4154"/>
    <w:rsid w:val="00CF6124"/>
    <w:rsid w:val="00D02017"/>
    <w:rsid w:val="00D02EFA"/>
    <w:rsid w:val="00D03D28"/>
    <w:rsid w:val="00D04AB4"/>
    <w:rsid w:val="00D0543F"/>
    <w:rsid w:val="00D06044"/>
    <w:rsid w:val="00D07FD2"/>
    <w:rsid w:val="00D11910"/>
    <w:rsid w:val="00D13AAF"/>
    <w:rsid w:val="00D14959"/>
    <w:rsid w:val="00D14E9E"/>
    <w:rsid w:val="00D14EE7"/>
    <w:rsid w:val="00D15C9F"/>
    <w:rsid w:val="00D16118"/>
    <w:rsid w:val="00D1732B"/>
    <w:rsid w:val="00D21CC3"/>
    <w:rsid w:val="00D23240"/>
    <w:rsid w:val="00D23CEE"/>
    <w:rsid w:val="00D2457D"/>
    <w:rsid w:val="00D24F8E"/>
    <w:rsid w:val="00D269AC"/>
    <w:rsid w:val="00D275F6"/>
    <w:rsid w:val="00D30554"/>
    <w:rsid w:val="00D306FE"/>
    <w:rsid w:val="00D31369"/>
    <w:rsid w:val="00D32898"/>
    <w:rsid w:val="00D32D71"/>
    <w:rsid w:val="00D4038A"/>
    <w:rsid w:val="00D415FE"/>
    <w:rsid w:val="00D41E6A"/>
    <w:rsid w:val="00D42324"/>
    <w:rsid w:val="00D42A3C"/>
    <w:rsid w:val="00D43F5C"/>
    <w:rsid w:val="00D44E95"/>
    <w:rsid w:val="00D465FB"/>
    <w:rsid w:val="00D46718"/>
    <w:rsid w:val="00D47813"/>
    <w:rsid w:val="00D47AAB"/>
    <w:rsid w:val="00D500E5"/>
    <w:rsid w:val="00D51F55"/>
    <w:rsid w:val="00D55D6C"/>
    <w:rsid w:val="00D574FA"/>
    <w:rsid w:val="00D57C1E"/>
    <w:rsid w:val="00D61315"/>
    <w:rsid w:val="00D61FA4"/>
    <w:rsid w:val="00D6506E"/>
    <w:rsid w:val="00D7533D"/>
    <w:rsid w:val="00D77B88"/>
    <w:rsid w:val="00D814AE"/>
    <w:rsid w:val="00D85CAC"/>
    <w:rsid w:val="00D871EB"/>
    <w:rsid w:val="00D875D4"/>
    <w:rsid w:val="00D92E51"/>
    <w:rsid w:val="00D93189"/>
    <w:rsid w:val="00D93954"/>
    <w:rsid w:val="00DA1A94"/>
    <w:rsid w:val="00DA3707"/>
    <w:rsid w:val="00DA4EE2"/>
    <w:rsid w:val="00DA5804"/>
    <w:rsid w:val="00DA5D7A"/>
    <w:rsid w:val="00DA7049"/>
    <w:rsid w:val="00DA77E7"/>
    <w:rsid w:val="00DB315C"/>
    <w:rsid w:val="00DB6100"/>
    <w:rsid w:val="00DB6DA2"/>
    <w:rsid w:val="00DB6F8F"/>
    <w:rsid w:val="00DC00D5"/>
    <w:rsid w:val="00DC11A7"/>
    <w:rsid w:val="00DC3A4D"/>
    <w:rsid w:val="00DC3B48"/>
    <w:rsid w:val="00DC61D0"/>
    <w:rsid w:val="00DC6883"/>
    <w:rsid w:val="00DD0230"/>
    <w:rsid w:val="00DD12DF"/>
    <w:rsid w:val="00DD133A"/>
    <w:rsid w:val="00DD4BB3"/>
    <w:rsid w:val="00DD59BA"/>
    <w:rsid w:val="00DD5C47"/>
    <w:rsid w:val="00DD6196"/>
    <w:rsid w:val="00DE254C"/>
    <w:rsid w:val="00DE2648"/>
    <w:rsid w:val="00DE2750"/>
    <w:rsid w:val="00DE2EDB"/>
    <w:rsid w:val="00DE34F2"/>
    <w:rsid w:val="00DE788E"/>
    <w:rsid w:val="00DF1985"/>
    <w:rsid w:val="00DF3F94"/>
    <w:rsid w:val="00DF4807"/>
    <w:rsid w:val="00E01063"/>
    <w:rsid w:val="00E010F5"/>
    <w:rsid w:val="00E02C81"/>
    <w:rsid w:val="00E04186"/>
    <w:rsid w:val="00E06394"/>
    <w:rsid w:val="00E103F9"/>
    <w:rsid w:val="00E14CEA"/>
    <w:rsid w:val="00E17E87"/>
    <w:rsid w:val="00E20774"/>
    <w:rsid w:val="00E2263B"/>
    <w:rsid w:val="00E2313A"/>
    <w:rsid w:val="00E237CC"/>
    <w:rsid w:val="00E258A3"/>
    <w:rsid w:val="00E26507"/>
    <w:rsid w:val="00E27DF4"/>
    <w:rsid w:val="00E3113D"/>
    <w:rsid w:val="00E31529"/>
    <w:rsid w:val="00E31B52"/>
    <w:rsid w:val="00E34925"/>
    <w:rsid w:val="00E357B0"/>
    <w:rsid w:val="00E440D3"/>
    <w:rsid w:val="00E4417C"/>
    <w:rsid w:val="00E4527C"/>
    <w:rsid w:val="00E466AD"/>
    <w:rsid w:val="00E46B9E"/>
    <w:rsid w:val="00E47CD6"/>
    <w:rsid w:val="00E50CAD"/>
    <w:rsid w:val="00E535EF"/>
    <w:rsid w:val="00E541F2"/>
    <w:rsid w:val="00E61A6F"/>
    <w:rsid w:val="00E64BC6"/>
    <w:rsid w:val="00E65297"/>
    <w:rsid w:val="00E6617C"/>
    <w:rsid w:val="00E66F1A"/>
    <w:rsid w:val="00E6723D"/>
    <w:rsid w:val="00E70788"/>
    <w:rsid w:val="00E71229"/>
    <w:rsid w:val="00E730EC"/>
    <w:rsid w:val="00E7434F"/>
    <w:rsid w:val="00E771FD"/>
    <w:rsid w:val="00E77D4E"/>
    <w:rsid w:val="00E80BBE"/>
    <w:rsid w:val="00E81152"/>
    <w:rsid w:val="00E82A14"/>
    <w:rsid w:val="00E83619"/>
    <w:rsid w:val="00E901C9"/>
    <w:rsid w:val="00E91EC7"/>
    <w:rsid w:val="00E95440"/>
    <w:rsid w:val="00E9609C"/>
    <w:rsid w:val="00EA00A1"/>
    <w:rsid w:val="00EA2905"/>
    <w:rsid w:val="00EA5E11"/>
    <w:rsid w:val="00EA73B2"/>
    <w:rsid w:val="00EC21FA"/>
    <w:rsid w:val="00EC28A6"/>
    <w:rsid w:val="00EC5C42"/>
    <w:rsid w:val="00EC66BB"/>
    <w:rsid w:val="00EC7622"/>
    <w:rsid w:val="00EC7A93"/>
    <w:rsid w:val="00ED2D3F"/>
    <w:rsid w:val="00ED4AF7"/>
    <w:rsid w:val="00ED5064"/>
    <w:rsid w:val="00EE0195"/>
    <w:rsid w:val="00EE272C"/>
    <w:rsid w:val="00EE29B8"/>
    <w:rsid w:val="00EE37A5"/>
    <w:rsid w:val="00EE44CB"/>
    <w:rsid w:val="00EF0073"/>
    <w:rsid w:val="00EF134D"/>
    <w:rsid w:val="00EF259E"/>
    <w:rsid w:val="00EF47A9"/>
    <w:rsid w:val="00EF607E"/>
    <w:rsid w:val="00EF661D"/>
    <w:rsid w:val="00F00206"/>
    <w:rsid w:val="00F01267"/>
    <w:rsid w:val="00F019A6"/>
    <w:rsid w:val="00F02914"/>
    <w:rsid w:val="00F06241"/>
    <w:rsid w:val="00F06441"/>
    <w:rsid w:val="00F06EA5"/>
    <w:rsid w:val="00F10DE2"/>
    <w:rsid w:val="00F15B5D"/>
    <w:rsid w:val="00F16D6D"/>
    <w:rsid w:val="00F1764F"/>
    <w:rsid w:val="00F17ECE"/>
    <w:rsid w:val="00F23BE2"/>
    <w:rsid w:val="00F245FC"/>
    <w:rsid w:val="00F262A4"/>
    <w:rsid w:val="00F3595C"/>
    <w:rsid w:val="00F35ADF"/>
    <w:rsid w:val="00F36D6C"/>
    <w:rsid w:val="00F37A10"/>
    <w:rsid w:val="00F37B54"/>
    <w:rsid w:val="00F41122"/>
    <w:rsid w:val="00F43BDC"/>
    <w:rsid w:val="00F4416E"/>
    <w:rsid w:val="00F503FB"/>
    <w:rsid w:val="00F51022"/>
    <w:rsid w:val="00F515A1"/>
    <w:rsid w:val="00F61E1F"/>
    <w:rsid w:val="00F63301"/>
    <w:rsid w:val="00F639E3"/>
    <w:rsid w:val="00F66232"/>
    <w:rsid w:val="00F67450"/>
    <w:rsid w:val="00F7144A"/>
    <w:rsid w:val="00F71F86"/>
    <w:rsid w:val="00F73784"/>
    <w:rsid w:val="00F74065"/>
    <w:rsid w:val="00F74766"/>
    <w:rsid w:val="00F76402"/>
    <w:rsid w:val="00F80076"/>
    <w:rsid w:val="00F8398A"/>
    <w:rsid w:val="00F86FF8"/>
    <w:rsid w:val="00F8700A"/>
    <w:rsid w:val="00F8734D"/>
    <w:rsid w:val="00F9017A"/>
    <w:rsid w:val="00F90A84"/>
    <w:rsid w:val="00F9182A"/>
    <w:rsid w:val="00F91D24"/>
    <w:rsid w:val="00F9383F"/>
    <w:rsid w:val="00F9483D"/>
    <w:rsid w:val="00F95816"/>
    <w:rsid w:val="00F959F1"/>
    <w:rsid w:val="00F96006"/>
    <w:rsid w:val="00F97201"/>
    <w:rsid w:val="00FA099E"/>
    <w:rsid w:val="00FA35C5"/>
    <w:rsid w:val="00FA6F4F"/>
    <w:rsid w:val="00FB064E"/>
    <w:rsid w:val="00FB292B"/>
    <w:rsid w:val="00FB3A41"/>
    <w:rsid w:val="00FB3E22"/>
    <w:rsid w:val="00FB57B5"/>
    <w:rsid w:val="00FB6383"/>
    <w:rsid w:val="00FB72F3"/>
    <w:rsid w:val="00FB7E43"/>
    <w:rsid w:val="00FC27C0"/>
    <w:rsid w:val="00FC2F61"/>
    <w:rsid w:val="00FC3302"/>
    <w:rsid w:val="00FC36CE"/>
    <w:rsid w:val="00FC4504"/>
    <w:rsid w:val="00FC533F"/>
    <w:rsid w:val="00FC5445"/>
    <w:rsid w:val="00FC61E3"/>
    <w:rsid w:val="00FC6973"/>
    <w:rsid w:val="00FC72FA"/>
    <w:rsid w:val="00FD0B9E"/>
    <w:rsid w:val="00FD0F98"/>
    <w:rsid w:val="00FD1E85"/>
    <w:rsid w:val="00FD219C"/>
    <w:rsid w:val="00FD4618"/>
    <w:rsid w:val="00FE1511"/>
    <w:rsid w:val="00FE51B2"/>
    <w:rsid w:val="00FE573D"/>
    <w:rsid w:val="00FE7489"/>
    <w:rsid w:val="00FF0232"/>
    <w:rsid w:val="00FF0CBC"/>
    <w:rsid w:val="00FF0D16"/>
    <w:rsid w:val="00FF100A"/>
    <w:rsid w:val="00FF16DE"/>
    <w:rsid w:val="00FF1B8D"/>
    <w:rsid w:val="00FF2E6C"/>
    <w:rsid w:val="00FF3523"/>
    <w:rsid w:val="00FF60C6"/>
    <w:rsid w:val="00FF6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FCA"/>
  </w:style>
  <w:style w:type="paragraph" w:styleId="Heading3">
    <w:name w:val="heading 3"/>
    <w:basedOn w:val="Normal"/>
    <w:link w:val="Heading3Char"/>
    <w:uiPriority w:val="9"/>
    <w:qFormat/>
    <w:rsid w:val="009856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56DD"/>
    <w:rPr>
      <w:rFonts w:ascii="Times New Roman" w:eastAsia="Times New Roman" w:hAnsi="Times New Roman" w:cs="Times New Roman"/>
      <w:b/>
      <w:bCs/>
      <w:sz w:val="27"/>
      <w:szCs w:val="27"/>
    </w:rPr>
  </w:style>
  <w:style w:type="character" w:styleId="Strong">
    <w:name w:val="Strong"/>
    <w:basedOn w:val="DefaultParagraphFont"/>
    <w:uiPriority w:val="22"/>
    <w:qFormat/>
    <w:rsid w:val="009856DD"/>
    <w:rPr>
      <w:b/>
      <w:bCs/>
    </w:rPr>
  </w:style>
  <w:style w:type="character" w:customStyle="1" w:styleId="apple-converted-space">
    <w:name w:val="apple-converted-space"/>
    <w:basedOn w:val="DefaultParagraphFont"/>
    <w:rsid w:val="009856DD"/>
  </w:style>
  <w:style w:type="paragraph" w:styleId="BalloonText">
    <w:name w:val="Balloon Text"/>
    <w:basedOn w:val="Normal"/>
    <w:link w:val="BalloonTextChar"/>
    <w:uiPriority w:val="99"/>
    <w:semiHidden/>
    <w:unhideWhenUsed/>
    <w:rsid w:val="009856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6DD"/>
    <w:rPr>
      <w:rFonts w:ascii="Tahoma" w:hAnsi="Tahoma" w:cs="Tahoma"/>
      <w:sz w:val="16"/>
      <w:szCs w:val="16"/>
    </w:rPr>
  </w:style>
  <w:style w:type="character" w:customStyle="1" w:styleId="apple-style-span">
    <w:name w:val="apple-style-span"/>
    <w:basedOn w:val="DefaultParagraphFont"/>
    <w:rsid w:val="00637180"/>
  </w:style>
  <w:style w:type="character" w:customStyle="1" w:styleId="copy">
    <w:name w:val="copy"/>
    <w:basedOn w:val="DefaultParagraphFont"/>
    <w:rsid w:val="00637180"/>
  </w:style>
  <w:style w:type="character" w:customStyle="1" w:styleId="terms">
    <w:name w:val="terms"/>
    <w:basedOn w:val="DefaultParagraphFont"/>
    <w:rsid w:val="00637180"/>
  </w:style>
  <w:style w:type="paragraph" w:styleId="NormalWeb">
    <w:name w:val="Normal (Web)"/>
    <w:basedOn w:val="Normal"/>
    <w:uiPriority w:val="99"/>
    <w:unhideWhenUsed/>
    <w:rsid w:val="00637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6371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411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FCA"/>
  </w:style>
  <w:style w:type="paragraph" w:styleId="Heading3">
    <w:name w:val="heading 3"/>
    <w:basedOn w:val="Normal"/>
    <w:link w:val="Heading3Char"/>
    <w:uiPriority w:val="9"/>
    <w:qFormat/>
    <w:rsid w:val="009856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56DD"/>
    <w:rPr>
      <w:rFonts w:ascii="Times New Roman" w:eastAsia="Times New Roman" w:hAnsi="Times New Roman" w:cs="Times New Roman"/>
      <w:b/>
      <w:bCs/>
      <w:sz w:val="27"/>
      <w:szCs w:val="27"/>
    </w:rPr>
  </w:style>
  <w:style w:type="character" w:styleId="Strong">
    <w:name w:val="Strong"/>
    <w:basedOn w:val="DefaultParagraphFont"/>
    <w:uiPriority w:val="22"/>
    <w:qFormat/>
    <w:rsid w:val="009856DD"/>
    <w:rPr>
      <w:b/>
      <w:bCs/>
    </w:rPr>
  </w:style>
  <w:style w:type="character" w:customStyle="1" w:styleId="apple-converted-space">
    <w:name w:val="apple-converted-space"/>
    <w:basedOn w:val="DefaultParagraphFont"/>
    <w:rsid w:val="009856DD"/>
  </w:style>
  <w:style w:type="paragraph" w:styleId="BalloonText">
    <w:name w:val="Balloon Text"/>
    <w:basedOn w:val="Normal"/>
    <w:link w:val="BalloonTextChar"/>
    <w:uiPriority w:val="99"/>
    <w:semiHidden/>
    <w:unhideWhenUsed/>
    <w:rsid w:val="009856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6DD"/>
    <w:rPr>
      <w:rFonts w:ascii="Tahoma" w:hAnsi="Tahoma" w:cs="Tahoma"/>
      <w:sz w:val="16"/>
      <w:szCs w:val="16"/>
    </w:rPr>
  </w:style>
  <w:style w:type="character" w:customStyle="1" w:styleId="apple-style-span">
    <w:name w:val="apple-style-span"/>
    <w:basedOn w:val="DefaultParagraphFont"/>
    <w:rsid w:val="00637180"/>
  </w:style>
  <w:style w:type="character" w:customStyle="1" w:styleId="copy">
    <w:name w:val="copy"/>
    <w:basedOn w:val="DefaultParagraphFont"/>
    <w:rsid w:val="00637180"/>
  </w:style>
  <w:style w:type="character" w:customStyle="1" w:styleId="terms">
    <w:name w:val="terms"/>
    <w:basedOn w:val="DefaultParagraphFont"/>
    <w:rsid w:val="00637180"/>
  </w:style>
  <w:style w:type="paragraph" w:styleId="NormalWeb">
    <w:name w:val="Normal (Web)"/>
    <w:basedOn w:val="Normal"/>
    <w:uiPriority w:val="99"/>
    <w:unhideWhenUsed/>
    <w:rsid w:val="00637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6371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411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6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rstusa.com/cgi-bin/webcgi/webserve.cgi?card=D8B4&amp;page_type=appterms"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lynow.chase.com/FlexAppWeb/renderApp.do?SPID=D8B4&amp;CELL=6RRW&amp;AFFID=&amp;CLICK=&amp;CID=&amp;PROMO=DF01&amp;MSC=IQ1561845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10887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Helpline</dc:creator>
  <cp:lastModifiedBy>Windows User</cp:lastModifiedBy>
  <cp:revision>2</cp:revision>
  <dcterms:created xsi:type="dcterms:W3CDTF">2012-12-06T21:05:00Z</dcterms:created>
  <dcterms:modified xsi:type="dcterms:W3CDTF">2012-12-06T21:05:00Z</dcterms:modified>
</cp:coreProperties>
</file>