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B1" w:rsidRPr="006C6CB1" w:rsidRDefault="006C6CB1" w:rsidP="006C6CB1">
      <w:pPr>
        <w:pStyle w:val="NoSpacing"/>
        <w:rPr>
          <w:b/>
          <w:u w:val="single"/>
        </w:rPr>
      </w:pPr>
      <w:r w:rsidRPr="006C6CB1">
        <w:rPr>
          <w:b/>
          <w:u w:val="single"/>
        </w:rPr>
        <w:t>Understanding Factoring and Canceling</w:t>
      </w:r>
    </w:p>
    <w:p w:rsidR="006C6CB1" w:rsidRDefault="006C6CB1" w:rsidP="006C6CB1">
      <w:pPr>
        <w:pStyle w:val="NoSpacing"/>
      </w:pPr>
      <w:r>
        <w:t xml:space="preserve">Sometimes people get confused between </w:t>
      </w:r>
      <w:r w:rsidRPr="00CC6D26">
        <w:rPr>
          <w:i/>
        </w:rPr>
        <w:t>factoring</w:t>
      </w:r>
      <w:r>
        <w:t xml:space="preserve"> and </w:t>
      </w:r>
      <w:r w:rsidRPr="00CC6D26">
        <w:rPr>
          <w:i/>
        </w:rPr>
        <w:t>canceling</w:t>
      </w:r>
      <w:r>
        <w:t xml:space="preserve"> because they are both based on using common factors.  </w:t>
      </w:r>
      <w:r w:rsidRPr="00CC6D26">
        <w:rPr>
          <w:i/>
        </w:rPr>
        <w:t>Canceling</w:t>
      </w:r>
      <w:r>
        <w:t xml:space="preserve"> refers to using the principle of division to </w:t>
      </w:r>
      <w:r>
        <w:rPr>
          <w:i/>
        </w:rPr>
        <w:t>reduce</w:t>
      </w:r>
      <w:r>
        <w:t xml:space="preserve"> or </w:t>
      </w:r>
      <w:r>
        <w:rPr>
          <w:i/>
        </w:rPr>
        <w:t>simplify</w:t>
      </w:r>
      <w:r>
        <w:t xml:space="preserve"> a fraction.  Canceling uses the following two ideas:</w:t>
      </w:r>
    </w:p>
    <w:p w:rsidR="006C6CB1" w:rsidRPr="00CC6D26" w:rsidRDefault="006C6CB1" w:rsidP="006C6CB1">
      <w:pPr>
        <w:pStyle w:val="NoSpacing"/>
        <w:numPr>
          <w:ilvl w:val="0"/>
          <w:numId w:val="2"/>
        </w:numPr>
      </w:pPr>
      <w:r>
        <w:t xml:space="preserve">If </w:t>
      </w:r>
      <w:r w:rsidRPr="00CC6D26">
        <w:rPr>
          <w:i/>
        </w:rPr>
        <w:t>a</w:t>
      </w:r>
      <w:r>
        <w:rPr>
          <w:rFonts w:cs="Times New Roman"/>
        </w:rPr>
        <w:t>≠</w:t>
      </w:r>
      <w:r>
        <w:t xml:space="preserve">0, then </w:t>
      </w:r>
      <w:proofErr w:type="spellStart"/>
      <w:r>
        <w:rPr>
          <w:i/>
        </w:rPr>
        <w:t>a</w:t>
      </w:r>
      <w:r>
        <w:rPr>
          <w:rFonts w:cs="Times New Roman"/>
        </w:rPr>
        <w:t>÷</w:t>
      </w:r>
      <w:r w:rsidRPr="00CC6D26">
        <w:rPr>
          <w:i/>
        </w:rPr>
        <w:t>a</w:t>
      </w:r>
      <w:proofErr w:type="spellEnd"/>
      <w:r>
        <w:t xml:space="preserve"> = 1 </w:t>
      </w:r>
      <w:proofErr w:type="gramStart"/>
      <w:r>
        <w:t xml:space="preserve">or </w:t>
      </w:r>
      <m:oMath>
        <w:proofErr w:type="gramEnd"/>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=1</m:t>
        </m:r>
      </m:oMath>
      <w:r>
        <w:rPr>
          <w:rFonts w:eastAsiaTheme="minorEastAsia"/>
        </w:rPr>
        <w:t>.</w:t>
      </w:r>
    </w:p>
    <w:p w:rsidR="006C6CB1" w:rsidRPr="00CC6D26" w:rsidRDefault="006C6CB1" w:rsidP="006C6CB1">
      <w:pPr>
        <w:pStyle w:val="NoSpacing"/>
        <w:numPr>
          <w:ilvl w:val="0"/>
          <w:numId w:val="2"/>
        </w:numPr>
      </w:pPr>
      <w:r>
        <w:rPr>
          <w:rFonts w:eastAsiaTheme="minorEastAsia"/>
        </w:rPr>
        <w:t xml:space="preserve">1 is the </w:t>
      </w:r>
      <w:r>
        <w:rPr>
          <w:rFonts w:eastAsiaTheme="minorEastAsia"/>
          <w:i/>
        </w:rPr>
        <w:t>multiplicative identity</w:t>
      </w:r>
      <w:r>
        <w:rPr>
          <w:rFonts w:eastAsiaTheme="minorEastAsia"/>
        </w:rPr>
        <w:t xml:space="preserve">, meaning if </w:t>
      </w:r>
      <w:proofErr w:type="gramStart"/>
      <w:r w:rsidRPr="00CC6D26">
        <w:rPr>
          <w:rFonts w:eastAsiaTheme="minorEastAsia"/>
          <w:i/>
        </w:rPr>
        <w:t>a</w:t>
      </w:r>
      <w:r>
        <w:rPr>
          <w:rFonts w:eastAsiaTheme="minorEastAsia"/>
        </w:rPr>
        <w:t xml:space="preserve"> is</w:t>
      </w:r>
      <w:proofErr w:type="gramEnd"/>
      <w:r>
        <w:rPr>
          <w:rFonts w:eastAsiaTheme="minorEastAsia"/>
        </w:rPr>
        <w:t xml:space="preserve"> a real number, </w:t>
      </w:r>
      <w:r w:rsidRPr="00CC6D26">
        <w:rPr>
          <w:rFonts w:eastAsiaTheme="minorEastAsia"/>
          <w:i/>
        </w:rPr>
        <w:t>a</w:t>
      </w:r>
      <w:r>
        <w:rPr>
          <w:rFonts w:eastAsiaTheme="minorEastAsia"/>
        </w:rPr>
        <w:t xml:space="preserve"> </w:t>
      </w:r>
      <w:r>
        <w:rPr>
          <w:rFonts w:eastAsiaTheme="minorEastAsia" w:cs="Times New Roman"/>
        </w:rPr>
        <w:t>∙</w:t>
      </w:r>
      <w:r>
        <w:rPr>
          <w:rFonts w:eastAsiaTheme="minorEastAsia"/>
        </w:rPr>
        <w:t xml:space="preserve"> 1 = </w:t>
      </w:r>
      <w:r w:rsidRPr="00CC6D26">
        <w:rPr>
          <w:rFonts w:eastAsiaTheme="minorEastAsia"/>
          <w:i/>
        </w:rPr>
        <w:t>a</w:t>
      </w:r>
      <w:r>
        <w:rPr>
          <w:rFonts w:eastAsiaTheme="minorEastAsia"/>
        </w:rPr>
        <w:t>.</w:t>
      </w:r>
    </w:p>
    <w:p w:rsidR="006C6CB1" w:rsidRDefault="006C6CB1" w:rsidP="006C6CB1">
      <w:pPr>
        <w:pStyle w:val="NoSpacing"/>
        <w:rPr>
          <w:rFonts w:eastAsiaTheme="minorEastAsia"/>
        </w:rPr>
      </w:pPr>
      <w:r>
        <w:rPr>
          <w:rFonts w:eastAsiaTheme="minorEastAsia"/>
        </w:rPr>
        <w:t>Here is an example of canceling.  The numerator and denominator have a common factor of 2:</w:t>
      </w:r>
    </w:p>
    <w:p w:rsidR="006C6CB1" w:rsidRDefault="006C6CB1" w:rsidP="006C6CB1">
      <w:pPr>
        <w:pStyle w:val="NoSpacing"/>
        <w:rPr>
          <w:rFonts w:eastAsiaTheme="minorEastAsia"/>
        </w:rPr>
      </w:pPr>
    </w:p>
    <w:p w:rsidR="006C6CB1" w:rsidRDefault="00A429C3" w:rsidP="006C6CB1">
      <w:pPr>
        <w:pStyle w:val="NoSpacing"/>
        <w:ind w:left="720"/>
        <w:rPr>
          <w:rFonts w:eastAsiaTheme="minorEastAsia"/>
        </w:rPr>
      </w:pPr>
      <m:oMath>
        <m:f>
          <m:fPr>
            <m:ctrlPr>
              <w:rPr>
                <w:rFonts w:ascii="Cambria Math" w:hAnsi="Cambria Math"/>
                <w:i/>
              </w:rPr>
            </m:ctrlPr>
          </m:fPr>
          <m:num>
            <m:r>
              <w:rPr>
                <w:rFonts w:ascii="Cambria Math" w:hAnsi="Cambria Math"/>
              </w:rPr>
              <m:t>6</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3∙2</m:t>
            </m:r>
          </m:num>
          <m:den>
            <m:r>
              <w:rPr>
                <w:rFonts w:ascii="Cambria Math" w:hAnsi="Cambria Math"/>
              </w:rPr>
              <m:t>5∙2</m:t>
            </m:r>
          </m:den>
        </m:f>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5</m:t>
            </m:r>
          </m:den>
        </m:f>
      </m:oMath>
      <w:r w:rsidR="006C6CB1">
        <w:rPr>
          <w:rFonts w:eastAsiaTheme="minorEastAsia"/>
        </w:rPr>
        <w:t xml:space="preserve">      The </w:t>
      </w:r>
      <w:proofErr w:type="spellStart"/>
      <w:r w:rsidR="006C6CB1">
        <w:rPr>
          <w:rFonts w:eastAsiaTheme="minorEastAsia"/>
        </w:rPr>
        <w:t>twos</w:t>
      </w:r>
      <w:proofErr w:type="spellEnd"/>
      <w:r w:rsidR="006C6CB1">
        <w:rPr>
          <w:rFonts w:eastAsiaTheme="minorEastAsia"/>
        </w:rPr>
        <w:t xml:space="preserve"> are said to “cancel” meaning that 2</w:t>
      </w:r>
      <w:r w:rsidR="006C6CB1">
        <w:rPr>
          <w:rFonts w:eastAsiaTheme="minorEastAsia" w:cs="Times New Roman"/>
        </w:rPr>
        <w:t>÷</w:t>
      </w:r>
      <w:r w:rsidR="006C6CB1">
        <w:rPr>
          <w:rFonts w:eastAsiaTheme="minorEastAsia"/>
        </w:rPr>
        <w:t xml:space="preserve">2 = 1 </w:t>
      </w:r>
      <w:proofErr w:type="gramStart"/>
      <w:r w:rsidR="006C6CB1">
        <w:rPr>
          <w:rFonts w:eastAsiaTheme="minorEastAsia"/>
        </w:rPr>
        <w:t xml:space="preserve">and  </w:t>
      </w:r>
      <m:oMath>
        <w:proofErr w:type="gramEnd"/>
        <m:f>
          <m:fPr>
            <m:ctrlPr>
              <w:rPr>
                <w:rFonts w:ascii="Cambria Math" w:eastAsiaTheme="minorEastAsia" w:hAnsi="Cambria Math"/>
                <w:i/>
              </w:rPr>
            </m:ctrlPr>
          </m:fPr>
          <m:num>
            <m:r>
              <w:rPr>
                <w:rFonts w:ascii="Cambria Math" w:eastAsiaTheme="minorEastAsia" w:hAnsi="Cambria Math"/>
              </w:rPr>
              <m:t>3∙1</m:t>
            </m:r>
          </m:num>
          <m:den>
            <m:r>
              <w:rPr>
                <w:rFonts w:ascii="Cambria Math" w:eastAsiaTheme="minorEastAsia" w:hAnsi="Cambria Math"/>
              </w:rPr>
              <m:t xml:space="preserve">5∙1 </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oMath>
      <w:r w:rsidR="006C6CB1">
        <w:rPr>
          <w:rFonts w:eastAsiaTheme="minorEastAsia"/>
        </w:rPr>
        <w:t>.</w:t>
      </w:r>
    </w:p>
    <w:p w:rsidR="006C6CB1" w:rsidRPr="0020436E" w:rsidRDefault="006C6CB1" w:rsidP="006C6CB1">
      <w:pPr>
        <w:pStyle w:val="NoSpacing"/>
        <w:rPr>
          <w:rFonts w:eastAsiaTheme="minorEastAsia"/>
        </w:rPr>
      </w:pPr>
    </w:p>
    <w:p w:rsidR="006C6CB1" w:rsidRDefault="006C6CB1" w:rsidP="006C6CB1">
      <w:pPr>
        <w:pStyle w:val="NoSpacing"/>
        <w:rPr>
          <w:rFonts w:eastAsiaTheme="minorEastAsia"/>
        </w:rPr>
      </w:pPr>
      <w:r>
        <w:rPr>
          <w:rFonts w:eastAsiaTheme="minorEastAsia"/>
        </w:rPr>
        <w:t>It may appear that the twos just “disappear”, but it is important to understand that they have divided out to make 1.  It is also very important to note that the result is equivalent to the original expression.</w:t>
      </w:r>
    </w:p>
    <w:p w:rsidR="006C6CB1" w:rsidRDefault="006C6CB1" w:rsidP="006C6CB1">
      <w:pPr>
        <w:pStyle w:val="NoSpacing"/>
        <w:rPr>
          <w:rFonts w:eastAsiaTheme="minorEastAsia"/>
        </w:rPr>
      </w:pPr>
    </w:p>
    <w:p w:rsidR="006C6CB1" w:rsidRDefault="006C6CB1" w:rsidP="006C6CB1">
      <w:pPr>
        <w:pStyle w:val="NoSpacing"/>
        <w:rPr>
          <w:rFonts w:eastAsiaTheme="minorEastAsia"/>
        </w:rPr>
      </w:pPr>
      <w:r>
        <w:rPr>
          <w:rFonts w:eastAsiaTheme="minorEastAsia"/>
        </w:rPr>
        <w:t xml:space="preserve">When factoring a common factor from an expression, we separate out a common factor from an expression, </w:t>
      </w:r>
      <w:r>
        <w:rPr>
          <w:rFonts w:eastAsiaTheme="minorEastAsia"/>
          <w:i/>
        </w:rPr>
        <w:t>but the factor still remains as a part of the expression</w:t>
      </w:r>
      <w:r>
        <w:rPr>
          <w:rFonts w:eastAsiaTheme="minorEastAsia"/>
        </w:rPr>
        <w:t>.  The example below illustrates how a factor of 6 is separated out from the expression.</w:t>
      </w:r>
    </w:p>
    <w:p w:rsidR="006C6CB1" w:rsidRDefault="006C6CB1" w:rsidP="006C6CB1">
      <w:pPr>
        <w:pStyle w:val="NoSpacing"/>
        <w:rPr>
          <w:rFonts w:eastAsiaTheme="minorEastAsia"/>
        </w:rPr>
      </w:pPr>
    </w:p>
    <w:p w:rsidR="006C6CB1" w:rsidRDefault="006C6CB1" w:rsidP="006C6CB1">
      <w:pPr>
        <w:pStyle w:val="NoSpacing"/>
        <w:ind w:left="720"/>
        <w:rPr>
          <w:rFonts w:eastAsiaTheme="minorEastAsia"/>
        </w:rPr>
      </w:pPr>
      <m:oMath>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+60a-6=</m:t>
        </m:r>
        <m:r>
          <m:rPr>
            <m:sty m:val="bi"/>
          </m:rPr>
          <w:rPr>
            <w:rFonts w:ascii="Cambria Math" w:eastAsiaTheme="minorEastAsia" w:hAnsi="Cambria Math"/>
          </w:rPr>
          <m:t>6</m:t>
        </m:r>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+10a-1)</m:t>
        </m:r>
      </m:oMath>
      <w:r>
        <w:rPr>
          <w:rFonts w:eastAsiaTheme="minorEastAsia"/>
        </w:rPr>
        <w:t xml:space="preserve">    Notice that in the last term, </w:t>
      </w:r>
      <w:proofErr w:type="gramStart"/>
      <w:r>
        <w:rPr>
          <w:rFonts w:eastAsiaTheme="minorEastAsia"/>
        </w:rPr>
        <w:t>a 1</w:t>
      </w:r>
      <w:proofErr w:type="gramEnd"/>
      <w:r>
        <w:rPr>
          <w:rFonts w:eastAsiaTheme="minorEastAsia"/>
        </w:rPr>
        <w:t xml:space="preserve"> remains.  This is because subtracting 1 (as in this case) does change an expression.  In the example above, the ones were not written in the expression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oMath>
      <w:r>
        <w:rPr>
          <w:rFonts w:eastAsiaTheme="minorEastAsia"/>
        </w:rPr>
        <w:t xml:space="preserve"> because multiplying by 1 did not change the value.</w:t>
      </w:r>
    </w:p>
    <w:p w:rsidR="006C6CB1" w:rsidRDefault="006C6CB1" w:rsidP="006C6CB1">
      <w:pPr>
        <w:pStyle w:val="NoSpacing"/>
        <w:ind w:left="720"/>
        <w:rPr>
          <w:rFonts w:eastAsiaTheme="minorEastAsia"/>
        </w:rPr>
      </w:pPr>
    </w:p>
    <w:p w:rsidR="006C6CB1" w:rsidRDefault="006C6CB1" w:rsidP="006C6CB1">
      <w:pPr>
        <w:pStyle w:val="NoSpacing"/>
        <w:rPr>
          <w:rFonts w:eastAsiaTheme="minorEastAsia"/>
        </w:rPr>
      </w:pPr>
      <w:r>
        <w:rPr>
          <w:rFonts w:eastAsiaTheme="minorEastAsia"/>
        </w:rPr>
        <w:t>It is a common mistake to drop the 6 out of the problem above thinking that it has “canceled out”.  However, that would change the expression.  The two expressions would no longer be equivalent.  This is obvious when you use expressions that have a contextual meaning.  Consider this example.  Suppose we have the tile design shown below.</w:t>
      </w:r>
    </w:p>
    <w:p w:rsidR="006C6CB1" w:rsidRDefault="001E6F8B" w:rsidP="001E6F8B">
      <w:pPr>
        <w:pStyle w:val="NoSpacing"/>
        <w:jc w:val="center"/>
        <w:rPr>
          <w:rFonts w:eastAsiaTheme="minorEastAsia"/>
        </w:rPr>
      </w:pPr>
      <w:r>
        <w:rPr>
          <w:rFonts w:eastAsiaTheme="minorEastAsia"/>
          <w:noProof/>
        </w:rPr>
        <w:drawing>
          <wp:inline distT="0" distB="0" distL="0" distR="0">
            <wp:extent cx="382905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29050" cy="2447925"/>
                    </a:xfrm>
                    <a:prstGeom prst="rect">
                      <a:avLst/>
                    </a:prstGeom>
                    <a:noFill/>
                    <a:ln w="9525">
                      <a:noFill/>
                      <a:miter lim="800000"/>
                      <a:headEnd/>
                      <a:tailEnd/>
                    </a:ln>
                  </pic:spPr>
                </pic:pic>
              </a:graphicData>
            </a:graphic>
          </wp:inline>
        </w:drawing>
      </w:r>
    </w:p>
    <w:p w:rsidR="00DF7F34" w:rsidRDefault="001E6F8B" w:rsidP="006C6CB1">
      <w:pPr>
        <w:pStyle w:val="NoSpacing"/>
        <w:rPr>
          <w:rFonts w:eastAsiaTheme="minorEastAsia"/>
        </w:rPr>
      </w:pPr>
      <w:r>
        <w:rPr>
          <w:rFonts w:eastAsiaTheme="minorEastAsia"/>
        </w:rPr>
        <w:t>The expression for this design would be 2Z + 8T + 6R</w:t>
      </w:r>
      <w:r w:rsidRPr="001E6F8B">
        <w:rPr>
          <w:rFonts w:eastAsiaTheme="minorEastAsia"/>
          <w:vertAlign w:val="subscript"/>
        </w:rPr>
        <w:t>b</w:t>
      </w:r>
      <w:r>
        <w:rPr>
          <w:rFonts w:eastAsiaTheme="minorEastAsia"/>
        </w:rPr>
        <w:t xml:space="preserve">.   Each term has a common factor of 2 so we could write the expression in an equivalent </w:t>
      </w:r>
      <w:r w:rsidR="00DF7F34">
        <w:rPr>
          <w:rFonts w:eastAsiaTheme="minorEastAsia"/>
        </w:rPr>
        <w:t>factored form:</w:t>
      </w:r>
    </w:p>
    <w:p w:rsidR="00DF7F34" w:rsidRDefault="00DF7F34" w:rsidP="00B25788">
      <w:pPr>
        <w:pStyle w:val="NoSpacing"/>
        <w:jc w:val="center"/>
        <w:rPr>
          <w:rFonts w:eastAsiaTheme="minorEastAsia"/>
        </w:rPr>
      </w:pPr>
      <w:r>
        <w:rPr>
          <w:rFonts w:eastAsiaTheme="minorEastAsia"/>
        </w:rPr>
        <w:t xml:space="preserve">2Z + 8T + </w:t>
      </w:r>
      <w:proofErr w:type="gramStart"/>
      <w:r>
        <w:rPr>
          <w:rFonts w:eastAsiaTheme="minorEastAsia"/>
        </w:rPr>
        <w:t>6R</w:t>
      </w:r>
      <w:r w:rsidRPr="001E6F8B">
        <w:rPr>
          <w:rFonts w:eastAsiaTheme="minorEastAsia"/>
          <w:vertAlign w:val="subscript"/>
        </w:rPr>
        <w:t>b</w:t>
      </w:r>
      <w:r>
        <w:rPr>
          <w:rFonts w:eastAsiaTheme="minorEastAsia"/>
          <w:vertAlign w:val="subscript"/>
        </w:rPr>
        <w:t xml:space="preserve">  </w:t>
      </w:r>
      <w:r w:rsidRPr="00DF7F34">
        <w:rPr>
          <w:rFonts w:eastAsiaTheme="minorEastAsia"/>
        </w:rPr>
        <w:t>=</w:t>
      </w:r>
      <w:proofErr w:type="gramEnd"/>
      <w:r w:rsidR="001E6F8B">
        <w:rPr>
          <w:rFonts w:eastAsiaTheme="minorEastAsia"/>
        </w:rPr>
        <w:t xml:space="preserve">  2(Z + 4T + 3R</w:t>
      </w:r>
      <w:r w:rsidR="001E6F8B" w:rsidRPr="001E6F8B">
        <w:rPr>
          <w:rFonts w:eastAsiaTheme="minorEastAsia"/>
          <w:vertAlign w:val="subscript"/>
        </w:rPr>
        <w:t>b</w:t>
      </w:r>
      <w:r w:rsidR="00B25788">
        <w:rPr>
          <w:rFonts w:eastAsiaTheme="minorEastAsia"/>
        </w:rPr>
        <w:t>)</w:t>
      </w:r>
    </w:p>
    <w:p w:rsidR="006C6CB1" w:rsidRDefault="001E6F8B" w:rsidP="00DF7F34">
      <w:pPr>
        <w:pStyle w:val="NoSpacing"/>
        <w:rPr>
          <w:rFonts w:eastAsiaTheme="minorEastAsia"/>
        </w:rPr>
      </w:pPr>
      <w:r>
        <w:rPr>
          <w:rFonts w:eastAsiaTheme="minorEastAsia"/>
        </w:rPr>
        <w:lastRenderedPageBreak/>
        <w:t>We can see that these expressions are equivalent</w:t>
      </w:r>
      <w:r w:rsidR="00DF7F34">
        <w:rPr>
          <w:rFonts w:eastAsiaTheme="minorEastAsia"/>
        </w:rPr>
        <w:t xml:space="preserve"> based on the context.  The design is made up of </w:t>
      </w:r>
      <w:r w:rsidR="00DF7F34" w:rsidRPr="00DF7F34">
        <w:rPr>
          <w:rFonts w:eastAsiaTheme="minorEastAsia"/>
          <w:b/>
          <w:i/>
        </w:rPr>
        <w:t>two</w:t>
      </w:r>
      <w:r w:rsidR="00DF7F34">
        <w:rPr>
          <w:rFonts w:eastAsiaTheme="minorEastAsia"/>
        </w:rPr>
        <w:t xml:space="preserve"> groups of the tiles (Z + 4T + 3R</w:t>
      </w:r>
      <w:r w:rsidR="00DF7F34" w:rsidRPr="001E6F8B">
        <w:rPr>
          <w:rFonts w:eastAsiaTheme="minorEastAsia"/>
          <w:vertAlign w:val="subscript"/>
        </w:rPr>
        <w:t>b</w:t>
      </w:r>
      <w:r w:rsidR="00DF7F34">
        <w:rPr>
          <w:rFonts w:eastAsiaTheme="minorEastAsia"/>
        </w:rPr>
        <w:t>):</w:t>
      </w:r>
    </w:p>
    <w:p w:rsidR="00DF7F34" w:rsidRDefault="00DF7F34" w:rsidP="00DF7F34">
      <w:pPr>
        <w:pStyle w:val="NoSpacing"/>
        <w:rPr>
          <w:rFonts w:eastAsiaTheme="minorEastAsia"/>
        </w:rPr>
      </w:pPr>
      <w:r>
        <w:rPr>
          <w:rFonts w:eastAsiaTheme="minorEastAsia"/>
          <w:noProof/>
        </w:rPr>
        <w:drawing>
          <wp:inline distT="0" distB="0" distL="0" distR="0">
            <wp:extent cx="2333625" cy="1933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33625" cy="1933575"/>
                    </a:xfrm>
                    <a:prstGeom prst="rect">
                      <a:avLst/>
                    </a:prstGeom>
                    <a:noFill/>
                    <a:ln w="9525">
                      <a:noFill/>
                      <a:miter lim="800000"/>
                      <a:headEnd/>
                      <a:tailEnd/>
                    </a:ln>
                  </pic:spPr>
                </pic:pic>
              </a:graphicData>
            </a:graphic>
          </wp:inline>
        </w:drawing>
      </w:r>
      <w:r>
        <w:rPr>
          <w:rFonts w:eastAsiaTheme="minorEastAsia"/>
        </w:rPr>
        <w:tab/>
      </w:r>
      <w:r>
        <w:rPr>
          <w:rFonts w:eastAsiaTheme="minorEastAsia"/>
          <w:noProof/>
        </w:rPr>
        <w:drawing>
          <wp:inline distT="0" distB="0" distL="0" distR="0">
            <wp:extent cx="1943100" cy="1905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43100" cy="1905000"/>
                    </a:xfrm>
                    <a:prstGeom prst="rect">
                      <a:avLst/>
                    </a:prstGeom>
                    <a:noFill/>
                    <a:ln w="9525">
                      <a:noFill/>
                      <a:miter lim="800000"/>
                      <a:headEnd/>
                      <a:tailEnd/>
                    </a:ln>
                  </pic:spPr>
                </pic:pic>
              </a:graphicData>
            </a:graphic>
          </wp:inline>
        </w:drawing>
      </w:r>
    </w:p>
    <w:p w:rsidR="00DF7F34" w:rsidRDefault="00DF7F34" w:rsidP="00DF7F34">
      <w:pPr>
        <w:pStyle w:val="NoSpacing"/>
        <w:rPr>
          <w:rFonts w:eastAsiaTheme="minorEastAsia"/>
        </w:rPr>
      </w:pPr>
    </w:p>
    <w:p w:rsidR="00DF7F34" w:rsidRDefault="00DF7F34" w:rsidP="00DF7F34">
      <w:pPr>
        <w:pStyle w:val="NoSpacing"/>
      </w:pPr>
      <w:r>
        <w:rPr>
          <w:rFonts w:eastAsiaTheme="minorEastAsia"/>
        </w:rPr>
        <w:t xml:space="preserve">Therefore, the common factor of </w:t>
      </w:r>
      <w:r>
        <w:rPr>
          <w:rFonts w:eastAsiaTheme="minorEastAsia"/>
          <w:i/>
        </w:rPr>
        <w:t>2</w:t>
      </w:r>
      <w:r>
        <w:t xml:space="preserve"> must be written in the factored form.</w:t>
      </w:r>
    </w:p>
    <w:p w:rsidR="00DF7F34" w:rsidRDefault="00DF7F34" w:rsidP="00DF7F34">
      <w:pPr>
        <w:pStyle w:val="NoSpacing"/>
      </w:pPr>
    </w:p>
    <w:p w:rsidR="00DF7F34" w:rsidRDefault="00DF7F34" w:rsidP="00DF7F34">
      <w:pPr>
        <w:pStyle w:val="NoSpacing"/>
      </w:pPr>
      <w:r>
        <w:t xml:space="preserve">Often, we use </w:t>
      </w:r>
      <w:r>
        <w:rPr>
          <w:i/>
        </w:rPr>
        <w:t>canceling</w:t>
      </w:r>
      <w:r>
        <w:t xml:space="preserve"> and </w:t>
      </w:r>
      <w:r>
        <w:rPr>
          <w:i/>
        </w:rPr>
        <w:t>factoring</w:t>
      </w:r>
      <w:r>
        <w:t xml:space="preserve"> together to simplify an expression.  The following example shows steps to simplify the expression.  For each step, explain what is being done:</w:t>
      </w:r>
    </w:p>
    <w:tbl>
      <w:tblPr>
        <w:tblStyle w:val="TableGrid"/>
        <w:tblW w:w="0" w:type="auto"/>
        <w:tblLook w:val="04A0"/>
      </w:tblPr>
      <w:tblGrid>
        <w:gridCol w:w="2718"/>
        <w:gridCol w:w="6030"/>
      </w:tblGrid>
      <w:tr w:rsidR="00DA166A" w:rsidRPr="00B25788" w:rsidTr="00DA166A">
        <w:tc>
          <w:tcPr>
            <w:tcW w:w="2718" w:type="dxa"/>
          </w:tcPr>
          <w:p w:rsidR="00DA166A" w:rsidRPr="00B25788" w:rsidRDefault="00DA166A" w:rsidP="00B25788">
            <w:pPr>
              <w:pStyle w:val="NoSpacing"/>
              <w:jc w:val="center"/>
              <w:rPr>
                <w:b/>
              </w:rPr>
            </w:pPr>
            <w:r w:rsidRPr="00B25788">
              <w:rPr>
                <w:b/>
              </w:rPr>
              <w:t>Step</w:t>
            </w:r>
          </w:p>
        </w:tc>
        <w:tc>
          <w:tcPr>
            <w:tcW w:w="6030" w:type="dxa"/>
          </w:tcPr>
          <w:p w:rsidR="00DA166A" w:rsidRPr="00B25788" w:rsidRDefault="00DA166A" w:rsidP="00B25788">
            <w:pPr>
              <w:pStyle w:val="NoSpacing"/>
              <w:jc w:val="center"/>
              <w:rPr>
                <w:b/>
              </w:rPr>
            </w:pPr>
            <w:r w:rsidRPr="00B25788">
              <w:rPr>
                <w:b/>
              </w:rPr>
              <w:t>Explanation</w:t>
            </w:r>
          </w:p>
        </w:tc>
      </w:tr>
      <w:tr w:rsidR="00DA166A" w:rsidTr="00DA166A">
        <w:tc>
          <w:tcPr>
            <w:tcW w:w="2718" w:type="dxa"/>
          </w:tcPr>
          <w:p w:rsidR="00DA166A" w:rsidRDefault="00A429C3" w:rsidP="00B25788">
            <w:pPr>
              <w:pStyle w:val="NoSpacing"/>
              <w:rPr>
                <w:rFonts w:eastAsiaTheme="minorEastAsia"/>
              </w:rPr>
            </w:pPr>
            <m:oMathPara>
              <m:oMath>
                <m:f>
                  <m:fPr>
                    <m:ctrlPr>
                      <w:rPr>
                        <w:rFonts w:ascii="Cambria Math" w:hAnsi="Cambria Math"/>
                        <w:i/>
                      </w:rPr>
                    </m:ctrlPr>
                  </m:fPr>
                  <m:num>
                    <m:d>
                      <m:dPr>
                        <m:ctrlPr>
                          <w:rPr>
                            <w:rFonts w:ascii="Cambria Math" w:hAnsi="Cambria Math"/>
                            <w:i/>
                          </w:rPr>
                        </m:ctrlPr>
                      </m:dPr>
                      <m:e>
                        <m:r>
                          <w:rPr>
                            <w:rFonts w:ascii="Cambria Math" w:hAnsi="Cambria Math"/>
                          </w:rPr>
                          <m:t>8x+12</m:t>
                        </m:r>
                      </m:e>
                    </m:d>
                  </m:num>
                  <m:den>
                    <m:r>
                      <w:rPr>
                        <w:rFonts w:ascii="Cambria Math" w:hAnsi="Cambria Math"/>
                      </w:rPr>
                      <m:t>4</m:t>
                    </m:r>
                  </m:den>
                </m:f>
                <m:r>
                  <w:rPr>
                    <w:rFonts w:ascii="Cambria Math" w:hAnsi="Cambria Math"/>
                  </w:rPr>
                  <m:t xml:space="preserve"> →  </m:t>
                </m:r>
                <m:f>
                  <m:fPr>
                    <m:ctrlPr>
                      <w:rPr>
                        <w:rFonts w:ascii="Cambria Math" w:hAnsi="Cambria Math"/>
                        <w:i/>
                      </w:rPr>
                    </m:ctrlPr>
                  </m:fPr>
                  <m:num>
                    <m:r>
                      <w:rPr>
                        <w:rFonts w:ascii="Cambria Math" w:hAnsi="Cambria Math"/>
                      </w:rPr>
                      <m:t>4</m:t>
                    </m:r>
                    <m:d>
                      <m:dPr>
                        <m:ctrlPr>
                          <w:rPr>
                            <w:rFonts w:ascii="Cambria Math" w:hAnsi="Cambria Math"/>
                            <w:i/>
                          </w:rPr>
                        </m:ctrlPr>
                      </m:dPr>
                      <m:e>
                        <m:r>
                          <w:rPr>
                            <w:rFonts w:ascii="Cambria Math" w:hAnsi="Cambria Math"/>
                          </w:rPr>
                          <m:t>x+3</m:t>
                        </m:r>
                      </m:e>
                    </m:d>
                  </m:num>
                  <m:den>
                    <m:r>
                      <w:rPr>
                        <w:rFonts w:ascii="Cambria Math" w:hAnsi="Cambria Math"/>
                      </w:rPr>
                      <m:t>4</m:t>
                    </m:r>
                  </m:den>
                </m:f>
              </m:oMath>
            </m:oMathPara>
          </w:p>
          <w:p w:rsidR="00DA166A" w:rsidRDefault="00DA166A" w:rsidP="00B25788">
            <w:pPr>
              <w:pStyle w:val="NoSpacing"/>
              <w:rPr>
                <w:rFonts w:eastAsiaTheme="minorEastAsia"/>
              </w:rPr>
            </w:pPr>
          </w:p>
          <w:p w:rsidR="00DA166A" w:rsidRDefault="00DA166A" w:rsidP="00B25788">
            <w:pPr>
              <w:pStyle w:val="NoSpacing"/>
              <w:rPr>
                <w:rFonts w:eastAsiaTheme="minorEastAsia"/>
              </w:rPr>
            </w:pPr>
          </w:p>
          <w:p w:rsidR="00DA166A" w:rsidRDefault="00DA166A" w:rsidP="00B25788">
            <w:pPr>
              <w:pStyle w:val="NoSpacing"/>
              <w:rPr>
                <w:rFonts w:eastAsiaTheme="minorEastAsia"/>
              </w:rPr>
            </w:pPr>
          </w:p>
          <w:p w:rsidR="00DA166A" w:rsidRDefault="00DA166A" w:rsidP="00B25788">
            <w:pPr>
              <w:pStyle w:val="NoSpacing"/>
              <w:rPr>
                <w:rFonts w:eastAsiaTheme="minorEastAsia"/>
              </w:rPr>
            </w:pPr>
          </w:p>
          <w:p w:rsidR="00DA166A" w:rsidRDefault="00DA166A" w:rsidP="00B25788">
            <w:pPr>
              <w:pStyle w:val="NoSpacing"/>
              <w:rPr>
                <w:rFonts w:eastAsiaTheme="minorEastAsia"/>
              </w:rPr>
            </w:pPr>
          </w:p>
          <w:p w:rsidR="00DA166A" w:rsidRDefault="00DA166A" w:rsidP="00B25788">
            <w:pPr>
              <w:pStyle w:val="NoSpacing"/>
            </w:pPr>
          </w:p>
        </w:tc>
        <w:tc>
          <w:tcPr>
            <w:tcW w:w="6030" w:type="dxa"/>
          </w:tcPr>
          <w:p w:rsidR="00DA166A" w:rsidRPr="004613CB" w:rsidRDefault="00DA166A" w:rsidP="00DA166A">
            <w:pPr>
              <w:pStyle w:val="NoSpacing"/>
              <w:numPr>
                <w:ilvl w:val="0"/>
                <w:numId w:val="6"/>
              </w:numPr>
              <w:rPr>
                <w:rFonts w:eastAsia="Calibri" w:cs="Times New Roman"/>
              </w:rPr>
            </w:pPr>
          </w:p>
        </w:tc>
      </w:tr>
      <w:tr w:rsidR="00DA166A" w:rsidTr="00DA166A">
        <w:tc>
          <w:tcPr>
            <w:tcW w:w="2718" w:type="dxa"/>
          </w:tcPr>
          <w:p w:rsidR="00DA166A" w:rsidRDefault="00A429C3" w:rsidP="00B25788">
            <w:pPr>
              <w:pStyle w:val="NoSpacing"/>
              <w:rPr>
                <w:rFonts w:eastAsia="Calibri" w:cs="Times New Roman"/>
              </w:rPr>
            </w:pPr>
            <m:oMathPara>
              <m:oMath>
                <m:f>
                  <m:fPr>
                    <m:ctrlPr>
                      <w:rPr>
                        <w:rFonts w:ascii="Cambria Math" w:hAnsi="Cambria Math"/>
                        <w:i/>
                      </w:rPr>
                    </m:ctrlPr>
                  </m:fPr>
                  <m:num>
                    <m:r>
                      <w:rPr>
                        <w:rFonts w:ascii="Cambria Math" w:hAnsi="Cambria Math"/>
                      </w:rPr>
                      <m:t>4</m:t>
                    </m:r>
                    <m:d>
                      <m:dPr>
                        <m:ctrlPr>
                          <w:rPr>
                            <w:rFonts w:ascii="Cambria Math" w:hAnsi="Cambria Math"/>
                            <w:i/>
                          </w:rPr>
                        </m:ctrlPr>
                      </m:dPr>
                      <m:e>
                        <m:r>
                          <w:rPr>
                            <w:rFonts w:ascii="Cambria Math" w:hAnsi="Cambria Math"/>
                          </w:rPr>
                          <m:t>x+3</m:t>
                        </m:r>
                      </m:e>
                    </m:d>
                  </m:num>
                  <m:den>
                    <m:r>
                      <w:rPr>
                        <w:rFonts w:ascii="Cambria Math" w:hAnsi="Cambria Math"/>
                      </w:rPr>
                      <m:t>4</m:t>
                    </m:r>
                  </m:den>
                </m:f>
                <m:r>
                  <w:rPr>
                    <w:rFonts w:ascii="Cambria Math" w:hAnsi="Cambria Math"/>
                  </w:rPr>
                  <m:t xml:space="preserve"> →  x+3</m:t>
                </m:r>
              </m:oMath>
            </m:oMathPara>
          </w:p>
          <w:p w:rsidR="00DA166A" w:rsidRDefault="00DA166A" w:rsidP="00B25788">
            <w:pPr>
              <w:pStyle w:val="NoSpacing"/>
              <w:rPr>
                <w:rFonts w:eastAsia="Calibri" w:cs="Times New Roman"/>
              </w:rPr>
            </w:pPr>
          </w:p>
          <w:p w:rsidR="00DA166A" w:rsidRDefault="00DA166A" w:rsidP="00B25788">
            <w:pPr>
              <w:pStyle w:val="NoSpacing"/>
              <w:rPr>
                <w:rFonts w:eastAsia="Calibri" w:cs="Times New Roman"/>
              </w:rPr>
            </w:pPr>
          </w:p>
          <w:p w:rsidR="00DA166A" w:rsidRDefault="00DA166A" w:rsidP="00B25788">
            <w:pPr>
              <w:pStyle w:val="NoSpacing"/>
              <w:rPr>
                <w:rFonts w:eastAsia="Calibri" w:cs="Times New Roman"/>
              </w:rPr>
            </w:pPr>
          </w:p>
          <w:p w:rsidR="00DA166A" w:rsidRDefault="00DA166A" w:rsidP="00B25788">
            <w:pPr>
              <w:pStyle w:val="NoSpacing"/>
              <w:rPr>
                <w:rFonts w:eastAsia="Calibri" w:cs="Times New Roman"/>
              </w:rPr>
            </w:pPr>
          </w:p>
          <w:p w:rsidR="00DA166A" w:rsidRDefault="00DA166A" w:rsidP="00B25788">
            <w:pPr>
              <w:pStyle w:val="NoSpacing"/>
              <w:rPr>
                <w:rFonts w:eastAsia="Calibri" w:cs="Times New Roman"/>
              </w:rPr>
            </w:pPr>
          </w:p>
          <w:p w:rsidR="00DA166A" w:rsidRPr="00A36CAB" w:rsidRDefault="00DA166A" w:rsidP="00B25788">
            <w:pPr>
              <w:pStyle w:val="NoSpacing"/>
              <w:rPr>
                <w:rFonts w:eastAsia="Calibri" w:cs="Times New Roman"/>
              </w:rPr>
            </w:pPr>
          </w:p>
        </w:tc>
        <w:tc>
          <w:tcPr>
            <w:tcW w:w="6030" w:type="dxa"/>
          </w:tcPr>
          <w:p w:rsidR="00DA166A" w:rsidRPr="004613CB" w:rsidRDefault="00DA166A" w:rsidP="00DA166A">
            <w:pPr>
              <w:pStyle w:val="NoSpacing"/>
              <w:numPr>
                <w:ilvl w:val="0"/>
                <w:numId w:val="6"/>
              </w:numPr>
              <w:rPr>
                <w:rFonts w:eastAsia="Calibri" w:cs="Times New Roman"/>
              </w:rPr>
            </w:pPr>
          </w:p>
        </w:tc>
      </w:tr>
    </w:tbl>
    <w:p w:rsidR="00DF7F34" w:rsidRPr="00DF7F34" w:rsidRDefault="00DF7F34" w:rsidP="00DF7F34">
      <w:pPr>
        <w:pStyle w:val="NoSpacing"/>
      </w:pPr>
      <w:r>
        <w:t xml:space="preserve"> </w:t>
      </w:r>
    </w:p>
    <w:p w:rsidR="006C6CB1" w:rsidRDefault="00B25788" w:rsidP="00B25788">
      <w:pPr>
        <w:pStyle w:val="NoSpacing"/>
      </w:pPr>
      <w:r>
        <w:rPr>
          <w:b/>
        </w:rPr>
        <w:t>Factor and simplify the expressions if possible.  If not factorable, state, “</w:t>
      </w:r>
      <w:proofErr w:type="gramStart"/>
      <w:r>
        <w:rPr>
          <w:b/>
        </w:rPr>
        <w:t>no</w:t>
      </w:r>
      <w:proofErr w:type="gramEnd"/>
      <w:r>
        <w:rPr>
          <w:b/>
        </w:rPr>
        <w:t xml:space="preserve"> common factors.”</w:t>
      </w:r>
    </w:p>
    <w:tbl>
      <w:tblPr>
        <w:tblStyle w:val="TableGrid"/>
        <w:tblW w:w="0" w:type="auto"/>
        <w:tblLook w:val="04A0"/>
      </w:tblPr>
      <w:tblGrid>
        <w:gridCol w:w="4788"/>
        <w:gridCol w:w="4788"/>
      </w:tblGrid>
      <w:tr w:rsidR="00B25788" w:rsidTr="00B25788">
        <w:tc>
          <w:tcPr>
            <w:tcW w:w="4788" w:type="dxa"/>
          </w:tcPr>
          <w:p w:rsidR="00B25788" w:rsidRDefault="00B25788" w:rsidP="00EB70C6">
            <w:pPr>
              <w:pStyle w:val="NoSpacing"/>
              <w:numPr>
                <w:ilvl w:val="0"/>
                <w:numId w:val="6"/>
              </w:numPr>
            </w:pPr>
            <m:oMath>
              <m:r>
                <w:rPr>
                  <w:rFonts w:ascii="Cambria Math" w:hAnsi="Cambria Math"/>
                </w:rPr>
                <m:t>15x-27x</m:t>
              </m:r>
            </m:oMath>
          </w:p>
        </w:tc>
        <w:tc>
          <w:tcPr>
            <w:tcW w:w="4788" w:type="dxa"/>
          </w:tcPr>
          <w:p w:rsidR="00B25788" w:rsidRPr="00B25788" w:rsidRDefault="00A429C3" w:rsidP="00EB70C6">
            <w:pPr>
              <w:pStyle w:val="NoSpacing"/>
              <w:numPr>
                <w:ilvl w:val="0"/>
                <w:numId w:val="6"/>
              </w:numPr>
              <w:rPr>
                <w:sz w:val="28"/>
                <w:szCs w:val="28"/>
              </w:rPr>
            </w:pPr>
            <m:oMath>
              <m:f>
                <m:fPr>
                  <m:ctrlPr>
                    <w:rPr>
                      <w:rFonts w:ascii="Cambria Math" w:hAnsi="Cambria Math"/>
                      <w:i/>
                      <w:sz w:val="28"/>
                      <w:szCs w:val="28"/>
                    </w:rPr>
                  </m:ctrlPr>
                </m:fPr>
                <m:num>
                  <m:r>
                    <w:rPr>
                      <w:rFonts w:ascii="Cambria Math" w:hAnsi="Cambria Math"/>
                      <w:sz w:val="28"/>
                      <w:szCs w:val="28"/>
                    </w:rPr>
                    <m:t>20x+21</m:t>
                  </m:r>
                </m:num>
                <m:den>
                  <m:r>
                    <w:rPr>
                      <w:rFonts w:ascii="Cambria Math" w:hAnsi="Cambria Math"/>
                      <w:sz w:val="28"/>
                      <w:szCs w:val="28"/>
                    </w:rPr>
                    <m:t>4</m:t>
                  </m:r>
                </m:den>
              </m:f>
            </m:oMath>
          </w:p>
          <w:p w:rsidR="00B25788" w:rsidRDefault="00B25788" w:rsidP="00B25788">
            <w:pPr>
              <w:pStyle w:val="NoSpacing"/>
              <w:rPr>
                <w:rFonts w:eastAsiaTheme="minorEastAsia"/>
              </w:rPr>
            </w:pPr>
          </w:p>
          <w:p w:rsidR="00B25788" w:rsidRDefault="00B25788" w:rsidP="00B25788">
            <w:pPr>
              <w:pStyle w:val="NoSpacing"/>
              <w:rPr>
                <w:rFonts w:eastAsiaTheme="minorEastAsia"/>
              </w:rPr>
            </w:pPr>
          </w:p>
          <w:p w:rsidR="00B25788" w:rsidRDefault="00B25788" w:rsidP="00B25788">
            <w:pPr>
              <w:pStyle w:val="NoSpacing"/>
              <w:rPr>
                <w:rFonts w:eastAsiaTheme="minorEastAsia"/>
              </w:rPr>
            </w:pPr>
          </w:p>
          <w:p w:rsidR="00B25788" w:rsidRDefault="00B25788" w:rsidP="00B25788">
            <w:pPr>
              <w:pStyle w:val="NoSpacing"/>
              <w:rPr>
                <w:rFonts w:eastAsiaTheme="minorEastAsia"/>
              </w:rPr>
            </w:pPr>
          </w:p>
          <w:p w:rsidR="00B25788" w:rsidRDefault="00B25788" w:rsidP="00B25788">
            <w:pPr>
              <w:pStyle w:val="NoSpacing"/>
              <w:rPr>
                <w:rFonts w:eastAsiaTheme="minorEastAsia"/>
              </w:rPr>
            </w:pPr>
          </w:p>
          <w:p w:rsidR="00B25788" w:rsidRDefault="00B25788" w:rsidP="00B25788">
            <w:pPr>
              <w:pStyle w:val="NoSpacing"/>
            </w:pPr>
          </w:p>
        </w:tc>
      </w:tr>
      <w:tr w:rsidR="00B25788" w:rsidTr="00B25788">
        <w:tc>
          <w:tcPr>
            <w:tcW w:w="4788" w:type="dxa"/>
          </w:tcPr>
          <w:p w:rsidR="00B25788" w:rsidRPr="00B25788" w:rsidRDefault="00B25788" w:rsidP="00EB70C6">
            <w:pPr>
              <w:pStyle w:val="NoSpacing"/>
              <w:numPr>
                <w:ilvl w:val="0"/>
                <w:numId w:val="6"/>
              </w:numPr>
              <w:rPr>
                <w:sz w:val="28"/>
                <w:szCs w:val="28"/>
              </w:rPr>
            </w:pPr>
            <w:r>
              <w:lastRenderedPageBreak/>
              <w:br w:type="page"/>
            </w:r>
            <m:oMathPara>
              <m:oMath>
                <m:f>
                  <m:fPr>
                    <m:ctrlPr>
                      <w:rPr>
                        <w:rFonts w:ascii="Cambria Math" w:hAnsi="Cambria Math"/>
                        <w:i/>
                        <w:sz w:val="28"/>
                        <w:szCs w:val="28"/>
                      </w:rPr>
                    </m:ctrlPr>
                  </m:fPr>
                  <m:num>
                    <m:r>
                      <w:rPr>
                        <w:rFonts w:ascii="Cambria Math" w:hAnsi="Cambria Math"/>
                        <w:sz w:val="28"/>
                        <w:szCs w:val="28"/>
                      </w:rPr>
                      <m:t>14b-8</m:t>
                    </m:r>
                  </m:num>
                  <m:den>
                    <m:r>
                      <w:rPr>
                        <w:rFonts w:ascii="Cambria Math" w:hAnsi="Cambria Math"/>
                        <w:sz w:val="28"/>
                        <w:szCs w:val="28"/>
                      </w:rPr>
                      <m:t>4</m:t>
                    </m:r>
                  </m:den>
                </m:f>
              </m:oMath>
            </m:oMathPara>
          </w:p>
        </w:tc>
        <w:tc>
          <w:tcPr>
            <w:tcW w:w="4788" w:type="dxa"/>
          </w:tcPr>
          <w:p w:rsidR="00B25788" w:rsidRPr="00B25788" w:rsidRDefault="00B25788" w:rsidP="00EB70C6">
            <w:pPr>
              <w:pStyle w:val="NoSpacing"/>
              <w:numPr>
                <w:ilvl w:val="0"/>
                <w:numId w:val="6"/>
              </w:numPr>
            </w:pPr>
            <m:oMath>
              <m:r>
                <w:rPr>
                  <w:rFonts w:ascii="Cambria Math" w:hAnsi="Cambria Math"/>
                </w:rPr>
                <m:t>49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- 28x-7</m:t>
              </m:r>
            </m:oMath>
          </w:p>
          <w:p w:rsidR="00B25788" w:rsidRDefault="00B25788" w:rsidP="00B25788">
            <w:pPr>
              <w:pStyle w:val="NoSpacing"/>
              <w:rPr>
                <w:rFonts w:eastAsiaTheme="minorEastAsia"/>
              </w:rPr>
            </w:pPr>
          </w:p>
          <w:p w:rsidR="00B25788" w:rsidRDefault="00B25788" w:rsidP="00B25788">
            <w:pPr>
              <w:pStyle w:val="NoSpacing"/>
              <w:rPr>
                <w:rFonts w:eastAsiaTheme="minorEastAsia"/>
              </w:rPr>
            </w:pPr>
          </w:p>
          <w:p w:rsidR="00B25788" w:rsidRDefault="00B25788" w:rsidP="00B25788">
            <w:pPr>
              <w:pStyle w:val="NoSpacing"/>
              <w:rPr>
                <w:rFonts w:eastAsiaTheme="minorEastAsia"/>
              </w:rPr>
            </w:pPr>
          </w:p>
          <w:p w:rsidR="00B25788" w:rsidRDefault="00B25788" w:rsidP="00B25788">
            <w:pPr>
              <w:pStyle w:val="NoSpacing"/>
              <w:rPr>
                <w:rFonts w:eastAsiaTheme="minorEastAsia"/>
              </w:rPr>
            </w:pPr>
          </w:p>
          <w:p w:rsidR="00B25788" w:rsidRDefault="00B25788" w:rsidP="00B25788">
            <w:pPr>
              <w:pStyle w:val="NoSpacing"/>
              <w:rPr>
                <w:rFonts w:eastAsiaTheme="minorEastAsia"/>
              </w:rPr>
            </w:pPr>
          </w:p>
          <w:p w:rsidR="00B25788" w:rsidRDefault="00B25788" w:rsidP="00B25788">
            <w:pPr>
              <w:pStyle w:val="NoSpacing"/>
            </w:pPr>
          </w:p>
        </w:tc>
      </w:tr>
    </w:tbl>
    <w:p w:rsidR="00B25788" w:rsidRPr="00B25788" w:rsidRDefault="00B25788" w:rsidP="00B25788">
      <w:pPr>
        <w:pStyle w:val="NoSpacing"/>
      </w:pPr>
    </w:p>
    <w:p w:rsidR="00CC6D26" w:rsidRDefault="00D93588" w:rsidP="00CC6D26">
      <w:pPr>
        <w:pStyle w:val="NoSpacing"/>
      </w:pPr>
      <w:r>
        <w:rPr>
          <w:b/>
        </w:rPr>
        <w:t>For each expression below, list 3 numbers that could be placed in the blanks to make the expression factorable.</w:t>
      </w:r>
    </w:p>
    <w:p w:rsidR="00D93588" w:rsidRDefault="00D93588" w:rsidP="00CC6D26">
      <w:pPr>
        <w:pStyle w:val="NoSpacing"/>
      </w:pPr>
    </w:p>
    <w:tbl>
      <w:tblPr>
        <w:tblStyle w:val="TableGrid"/>
        <w:tblW w:w="0" w:type="auto"/>
        <w:tblLook w:val="04A0"/>
      </w:tblPr>
      <w:tblGrid>
        <w:gridCol w:w="4788"/>
        <w:gridCol w:w="4788"/>
      </w:tblGrid>
      <w:tr w:rsidR="00D93588" w:rsidTr="00D93588">
        <w:tc>
          <w:tcPr>
            <w:tcW w:w="4788" w:type="dxa"/>
          </w:tcPr>
          <w:p w:rsidR="00D93588" w:rsidRPr="00D93588" w:rsidRDefault="00BD3B97" w:rsidP="00EB70C6">
            <w:pPr>
              <w:pStyle w:val="NoSpacing"/>
              <w:numPr>
                <w:ilvl w:val="0"/>
                <w:numId w:val="6"/>
              </w:numPr>
            </w:pPr>
            <m:oMath>
              <m:r>
                <w:rPr>
                  <w:rFonts w:ascii="Cambria Math" w:hAnsi="Cambria Math"/>
                </w:rPr>
                <m:t>18</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+_____</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-48</m:t>
              </m:r>
            </m:oMath>
          </w:p>
          <w:p w:rsidR="00D93588" w:rsidRDefault="00D93588" w:rsidP="00CC6D26">
            <w:pPr>
              <w:pStyle w:val="NoSpacing"/>
            </w:pPr>
          </w:p>
          <w:p w:rsidR="00D93588" w:rsidRDefault="00D93588" w:rsidP="00CC6D26">
            <w:pPr>
              <w:pStyle w:val="NoSpacing"/>
            </w:pPr>
          </w:p>
          <w:p w:rsidR="00D93588" w:rsidRDefault="00D93588" w:rsidP="00CC6D26">
            <w:pPr>
              <w:pStyle w:val="NoSpacing"/>
            </w:pPr>
          </w:p>
        </w:tc>
        <w:tc>
          <w:tcPr>
            <w:tcW w:w="4788" w:type="dxa"/>
          </w:tcPr>
          <w:p w:rsidR="00D93588" w:rsidRPr="00BD3B97" w:rsidRDefault="00BD3B97" w:rsidP="00EB70C6">
            <w:pPr>
              <w:pStyle w:val="NoSpacing"/>
              <w:numPr>
                <w:ilvl w:val="0"/>
                <w:numId w:val="6"/>
              </w:numPr>
              <w:rPr>
                <w:sz w:val="28"/>
                <w:szCs w:val="28"/>
              </w:rPr>
            </w:pPr>
            <w:r>
              <w:rPr>
                <w:sz w:val="28"/>
                <w:szCs w:val="28"/>
                <w:u w:val="single"/>
              </w:rPr>
              <w:t xml:space="preserve">  45x – 81  </w:t>
            </w:r>
          </w:p>
          <w:p w:rsidR="00BD3B97" w:rsidRDefault="00A429C3" w:rsidP="00BD3B97">
            <w:pPr>
              <w:pStyle w:val="NoSpacing"/>
              <w:ind w:left="720"/>
              <w:rPr>
                <w:sz w:val="28"/>
                <w:szCs w:val="28"/>
              </w:rPr>
            </w:pPr>
            <w:r>
              <w:rPr>
                <w:noProof/>
                <w:sz w:val="28"/>
                <w:szCs w:val="28"/>
              </w:rPr>
              <w:pict>
                <v:rect id="_x0000_s1026" style="position:absolute;left:0;text-align:left;margin-left:53.85pt;margin-top:4.55pt;width:25.5pt;height:27.75pt;z-index:251658240"/>
              </w:pict>
            </w:r>
          </w:p>
          <w:p w:rsidR="00BD3B97" w:rsidRPr="00D93588" w:rsidRDefault="00BD3B97" w:rsidP="00BD3B97">
            <w:pPr>
              <w:pStyle w:val="NoSpacing"/>
              <w:ind w:left="720"/>
              <w:rPr>
                <w:sz w:val="28"/>
                <w:szCs w:val="28"/>
              </w:rPr>
            </w:pPr>
            <w:r>
              <w:rPr>
                <w:sz w:val="28"/>
                <w:szCs w:val="28"/>
              </w:rPr>
              <w:t xml:space="preserve">   </w:t>
            </w:r>
          </w:p>
        </w:tc>
      </w:tr>
    </w:tbl>
    <w:p w:rsidR="00D93588" w:rsidRDefault="00D93588" w:rsidP="00CC6D26">
      <w:pPr>
        <w:pStyle w:val="NoSpacing"/>
      </w:pPr>
    </w:p>
    <w:p w:rsidR="001F0811" w:rsidRDefault="001F0811" w:rsidP="001F0811">
      <w:pPr>
        <w:pStyle w:val="NoSpacing"/>
      </w:pPr>
      <w:r>
        <w:rPr>
          <w:b/>
        </w:rPr>
        <w:t>Estimate.  Explain your estimation.</w:t>
      </w:r>
    </w:p>
    <w:p w:rsidR="001F0811" w:rsidRDefault="001F0811" w:rsidP="00EB70C6">
      <w:pPr>
        <w:pStyle w:val="NoSpacing"/>
        <w:numPr>
          <w:ilvl w:val="0"/>
          <w:numId w:val="6"/>
        </w:numPr>
      </w:pPr>
      <w:r>
        <w:t>38% of 2450.</w:t>
      </w:r>
    </w:p>
    <w:p w:rsidR="001F0811" w:rsidRDefault="001F0811" w:rsidP="001F0811">
      <w:pPr>
        <w:pStyle w:val="NoSpacing"/>
      </w:pPr>
    </w:p>
    <w:p w:rsidR="001F0811" w:rsidRDefault="001F0811" w:rsidP="001F0811">
      <w:pPr>
        <w:pStyle w:val="NoSpacing"/>
      </w:pPr>
    </w:p>
    <w:p w:rsidR="001F0811" w:rsidRDefault="001F0811" w:rsidP="001F0811">
      <w:pPr>
        <w:pStyle w:val="NoSpacing"/>
      </w:pPr>
    </w:p>
    <w:p w:rsidR="001F0811" w:rsidRDefault="001F0811" w:rsidP="001F0811">
      <w:pPr>
        <w:pStyle w:val="NoSpacing"/>
      </w:pPr>
    </w:p>
    <w:p w:rsidR="001F0811" w:rsidRDefault="001F0811" w:rsidP="001F0811">
      <w:pPr>
        <w:pStyle w:val="NoSpacing"/>
      </w:pPr>
    </w:p>
    <w:p w:rsidR="001F0811" w:rsidRDefault="001F0811" w:rsidP="001F0811">
      <w:pPr>
        <w:pStyle w:val="NoSpacing"/>
      </w:pPr>
    </w:p>
    <w:p w:rsidR="001F0811" w:rsidRDefault="001F0811" w:rsidP="001F0811">
      <w:pPr>
        <w:pStyle w:val="NoSpacing"/>
      </w:pPr>
    </w:p>
    <w:p w:rsidR="001F0811" w:rsidRPr="001F0811" w:rsidRDefault="001F0811" w:rsidP="001F0811">
      <w:pPr>
        <w:pStyle w:val="NoSpacing"/>
      </w:pPr>
    </w:p>
    <w:p w:rsidR="00D93588" w:rsidRPr="00D93588" w:rsidRDefault="00D93588" w:rsidP="00D93588">
      <w:pPr>
        <w:pStyle w:val="NoSpacing"/>
        <w:rPr>
          <w:b/>
        </w:rPr>
      </w:pPr>
      <w:r>
        <w:rPr>
          <w:b/>
        </w:rPr>
        <w:t>Complete the following prob</w:t>
      </w:r>
      <w:r w:rsidR="0097505F">
        <w:rPr>
          <w:b/>
        </w:rPr>
        <w:t>lems from your textbook:  p. 499</w:t>
      </w:r>
      <w:r>
        <w:rPr>
          <w:b/>
        </w:rPr>
        <w:t>; #6, 7, 13-17, 21, 23, 25,</w:t>
      </w:r>
      <w:r w:rsidR="00F818CC">
        <w:rPr>
          <w:b/>
        </w:rPr>
        <w:t xml:space="preserve"> 27, </w:t>
      </w:r>
      <w:r w:rsidR="0097505F">
        <w:rPr>
          <w:b/>
        </w:rPr>
        <w:t xml:space="preserve"> 39, 41, </w:t>
      </w:r>
      <w:r>
        <w:rPr>
          <w:b/>
        </w:rPr>
        <w:t>43, 93, 94, 96</w:t>
      </w:r>
    </w:p>
    <w:sectPr w:rsidR="00D93588" w:rsidRPr="00D93588" w:rsidSect="006565DA">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06" w:rsidRDefault="00A96706" w:rsidP="00A96706">
      <w:pPr>
        <w:spacing w:after="0" w:line="240" w:lineRule="auto"/>
      </w:pPr>
      <w:r>
        <w:separator/>
      </w:r>
    </w:p>
  </w:endnote>
  <w:endnote w:type="continuationSeparator" w:id="0">
    <w:p w:rsidR="00A96706" w:rsidRDefault="00A96706" w:rsidP="00A96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06" w:rsidRDefault="00A96706" w:rsidP="00A96706">
      <w:pPr>
        <w:spacing w:after="0" w:line="240" w:lineRule="auto"/>
      </w:pPr>
      <w:r>
        <w:separator/>
      </w:r>
    </w:p>
  </w:footnote>
  <w:footnote w:type="continuationSeparator" w:id="0">
    <w:p w:rsidR="00A96706" w:rsidRDefault="00A96706" w:rsidP="00A967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06" w:rsidRDefault="00A96706">
    <w:pPr>
      <w:pStyle w:val="Header"/>
    </w:pPr>
    <w:r>
      <w:t>TRS 82</w:t>
    </w:r>
    <w:r>
      <w:ptab w:relativeTo="margin" w:alignment="center" w:leader="none"/>
    </w:r>
    <w:r>
      <w:t>Day 20 Homework</w:t>
    </w:r>
    <w:r>
      <w:ptab w:relativeTo="margin" w:alignment="right" w:leader="none"/>
    </w:r>
    <w:r>
      <w:t>Name: 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444"/>
    <w:multiLevelType w:val="hybridMultilevel"/>
    <w:tmpl w:val="92CE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B5255"/>
    <w:multiLevelType w:val="hybridMultilevel"/>
    <w:tmpl w:val="ACF2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23EBA"/>
    <w:multiLevelType w:val="hybridMultilevel"/>
    <w:tmpl w:val="4550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567C2"/>
    <w:multiLevelType w:val="hybridMultilevel"/>
    <w:tmpl w:val="73B2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8693F"/>
    <w:multiLevelType w:val="hybridMultilevel"/>
    <w:tmpl w:val="2EDC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E642B0"/>
    <w:multiLevelType w:val="hybridMultilevel"/>
    <w:tmpl w:val="1D665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71EBD"/>
    <w:multiLevelType w:val="hybridMultilevel"/>
    <w:tmpl w:val="3EB65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86E5C"/>
    <w:multiLevelType w:val="hybridMultilevel"/>
    <w:tmpl w:val="3E300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5"/>
  </w:num>
  <w:num w:numId="5">
    <w:abstractNumId w:val="0"/>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6D26"/>
    <w:rsid w:val="000C6394"/>
    <w:rsid w:val="00110A44"/>
    <w:rsid w:val="001E6F8B"/>
    <w:rsid w:val="001F0811"/>
    <w:rsid w:val="0020436E"/>
    <w:rsid w:val="00207B31"/>
    <w:rsid w:val="0028542C"/>
    <w:rsid w:val="00295CE1"/>
    <w:rsid w:val="002F188C"/>
    <w:rsid w:val="003401E0"/>
    <w:rsid w:val="004613CB"/>
    <w:rsid w:val="004E45A0"/>
    <w:rsid w:val="005908DB"/>
    <w:rsid w:val="006565DA"/>
    <w:rsid w:val="006C6CB1"/>
    <w:rsid w:val="00813B9A"/>
    <w:rsid w:val="008B4188"/>
    <w:rsid w:val="00941856"/>
    <w:rsid w:val="0097505F"/>
    <w:rsid w:val="00994173"/>
    <w:rsid w:val="009A6970"/>
    <w:rsid w:val="009D7E09"/>
    <w:rsid w:val="00A429C3"/>
    <w:rsid w:val="00A96706"/>
    <w:rsid w:val="00B25788"/>
    <w:rsid w:val="00B82B7C"/>
    <w:rsid w:val="00BD3B97"/>
    <w:rsid w:val="00BE3D1F"/>
    <w:rsid w:val="00C01C00"/>
    <w:rsid w:val="00C35290"/>
    <w:rsid w:val="00CC6D26"/>
    <w:rsid w:val="00D93588"/>
    <w:rsid w:val="00DA166A"/>
    <w:rsid w:val="00DB5781"/>
    <w:rsid w:val="00DF7F34"/>
    <w:rsid w:val="00E24442"/>
    <w:rsid w:val="00EB70C6"/>
    <w:rsid w:val="00F73545"/>
    <w:rsid w:val="00F8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paragraph" w:styleId="BalloonText">
    <w:name w:val="Balloon Text"/>
    <w:basedOn w:val="Normal"/>
    <w:link w:val="BalloonTextChar"/>
    <w:uiPriority w:val="99"/>
    <w:semiHidden/>
    <w:unhideWhenUsed/>
    <w:rsid w:val="00CC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26"/>
    <w:rPr>
      <w:rFonts w:ascii="Tahoma" w:hAnsi="Tahoma" w:cs="Tahoma"/>
      <w:sz w:val="16"/>
      <w:szCs w:val="16"/>
    </w:rPr>
  </w:style>
  <w:style w:type="character" w:styleId="PlaceholderText">
    <w:name w:val="Placeholder Text"/>
    <w:basedOn w:val="DefaultParagraphFont"/>
    <w:uiPriority w:val="99"/>
    <w:semiHidden/>
    <w:rsid w:val="00CC6D26"/>
    <w:rPr>
      <w:color w:val="808080"/>
    </w:rPr>
  </w:style>
  <w:style w:type="table" w:styleId="TableGrid">
    <w:name w:val="Table Grid"/>
    <w:basedOn w:val="TableNormal"/>
    <w:uiPriority w:val="59"/>
    <w:rsid w:val="00B257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967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6706"/>
  </w:style>
  <w:style w:type="paragraph" w:styleId="Footer">
    <w:name w:val="footer"/>
    <w:basedOn w:val="Normal"/>
    <w:link w:val="FooterChar"/>
    <w:uiPriority w:val="99"/>
    <w:semiHidden/>
    <w:unhideWhenUsed/>
    <w:rsid w:val="00A967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7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7</cp:revision>
  <cp:lastPrinted>2010-02-10T20:04:00Z</cp:lastPrinted>
  <dcterms:created xsi:type="dcterms:W3CDTF">2010-02-08T19:22:00Z</dcterms:created>
  <dcterms:modified xsi:type="dcterms:W3CDTF">2011-06-02T17:25:00Z</dcterms:modified>
</cp:coreProperties>
</file>