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D3" w:rsidRPr="00A05952" w:rsidRDefault="00900DD3" w:rsidP="00900DD3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 w:rsidRPr="00A05952">
        <w:rPr>
          <w:rFonts w:ascii="Arial" w:hAnsi="Arial" w:cs="Arial"/>
          <w:b/>
        </w:rPr>
        <w:t xml:space="preserve">Day </w:t>
      </w:r>
      <w:r>
        <w:rPr>
          <w:rFonts w:ascii="Arial" w:hAnsi="Arial" w:cs="Arial"/>
          <w:b/>
        </w:rPr>
        <w:t>1</w:t>
      </w:r>
      <w:r w:rsidRPr="00A05952">
        <w:rPr>
          <w:rFonts w:ascii="Arial" w:hAnsi="Arial" w:cs="Arial"/>
          <w:b/>
        </w:rPr>
        <w:t>4 Homework Math 105</w:t>
      </w:r>
    </w:p>
    <w:p w:rsidR="00900DD3" w:rsidRDefault="00900DD3" w:rsidP="00900DD3">
      <w:pPr>
        <w:pStyle w:val="NoSpacing"/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Rewriting Com</w:t>
      </w:r>
      <w:r w:rsidRPr="00A05952">
        <w:rPr>
          <w:rFonts w:ascii="Arial" w:hAnsi="Arial" w:cs="Arial"/>
          <w:b/>
        </w:rPr>
        <w:t xml:space="preserve">parisons  </w:t>
      </w:r>
    </w:p>
    <w:p w:rsidR="00900DD3" w:rsidRPr="00A05952" w:rsidRDefault="00900DD3" w:rsidP="00900DD3">
      <w:pPr>
        <w:pStyle w:val="NoSpacing"/>
        <w:rPr>
          <w:rFonts w:ascii="Arial" w:hAnsi="Arial" w:cs="Arial"/>
          <w:b/>
        </w:rPr>
      </w:pPr>
    </w:p>
    <w:p w:rsidR="00887EC2" w:rsidRDefault="00900DD3" w:rsidP="0011630F">
      <w:pPr>
        <w:pStyle w:val="NoSpacing"/>
      </w:pPr>
      <w:r>
        <w:t xml:space="preserve">Use the </w:t>
      </w:r>
      <w:r w:rsidR="0011630F">
        <w:t xml:space="preserve">data given below.  You are to change the data so that the quantitative information is expressed </w:t>
      </w:r>
      <w:r w:rsidR="00887EC2">
        <w:t>in two (2)</w:t>
      </w:r>
      <w:r w:rsidR="0011630F">
        <w:t xml:space="preserve"> different way</w:t>
      </w:r>
      <w:r w:rsidR="00887EC2">
        <w:t>s from how it is originally presented</w:t>
      </w:r>
      <w:r w:rsidR="0011630F">
        <w:t xml:space="preserve">.  As an example, refer to your Substance Abuse Summary assignment directions, #1.  </w:t>
      </w:r>
    </w:p>
    <w:p w:rsidR="00887EC2" w:rsidRDefault="00887EC2" w:rsidP="0011630F">
      <w:pPr>
        <w:pStyle w:val="NoSpacing"/>
      </w:pPr>
    </w:p>
    <w:p w:rsidR="00900DD3" w:rsidRDefault="00900DD3" w:rsidP="0011630F">
      <w:pPr>
        <w:pStyle w:val="NoSpacing"/>
      </w:pPr>
      <w:r>
        <w:t xml:space="preserve">For each </w:t>
      </w:r>
      <w:r w:rsidR="0011630F">
        <w:t xml:space="preserve">question, show your calculations or explain how you changed the data.  </w:t>
      </w:r>
    </w:p>
    <w:p w:rsidR="0011630F" w:rsidRDefault="0011630F" w:rsidP="0011630F">
      <w:pPr>
        <w:pStyle w:val="NoSpacing"/>
      </w:pPr>
    </w:p>
    <w:p w:rsidR="00B24A56" w:rsidRDefault="00B24A56" w:rsidP="0011630F">
      <w:pPr>
        <w:pStyle w:val="NoSpacing"/>
      </w:pPr>
      <w:r>
        <w:t>For the following data, infrequent family dinners means fewer than 3 per week.  Frequent family dinners means 5 – 7 per week.</w:t>
      </w:r>
    </w:p>
    <w:p w:rsidR="00EB112C" w:rsidRDefault="00EB112C" w:rsidP="0011630F">
      <w:pPr>
        <w:pStyle w:val="NoSpacing"/>
      </w:pPr>
    </w:p>
    <w:p w:rsidR="00EB112C" w:rsidRDefault="00EB112C" w:rsidP="0011630F">
      <w:pPr>
        <w:pStyle w:val="NoSpacing"/>
      </w:pPr>
    </w:p>
    <w:p w:rsidR="0011630F" w:rsidRDefault="00B24A56" w:rsidP="00B24A56">
      <w:pPr>
        <w:pStyle w:val="NoSpacing"/>
        <w:numPr>
          <w:ilvl w:val="0"/>
          <w:numId w:val="2"/>
        </w:numPr>
      </w:pPr>
      <w:r>
        <w:t>33% of teens who have infrequent family dinners have used alcohol.  15% of teens who have frequent family dinners have used alcohol.</w:t>
      </w:r>
    </w:p>
    <w:p w:rsidR="00B24A56" w:rsidRDefault="00B24A56" w:rsidP="00B24A56">
      <w:pPr>
        <w:pStyle w:val="NoSpacing"/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887EC2" w:rsidTr="00887EC2">
        <w:tc>
          <w:tcPr>
            <w:tcW w:w="5175" w:type="dxa"/>
          </w:tcPr>
          <w:p w:rsidR="00887EC2" w:rsidRDefault="00887EC2" w:rsidP="00B24A56">
            <w:pPr>
              <w:pStyle w:val="NoSpacing"/>
            </w:pPr>
            <w:r>
              <w:t>Rewritten comparison #1 and work/explanation:</w:t>
            </w:r>
          </w:p>
        </w:tc>
        <w:tc>
          <w:tcPr>
            <w:tcW w:w="5175" w:type="dxa"/>
          </w:tcPr>
          <w:p w:rsidR="00887EC2" w:rsidRDefault="00887EC2" w:rsidP="00B24A56">
            <w:pPr>
              <w:pStyle w:val="NoSpacing"/>
            </w:pPr>
            <w:r>
              <w:t>Rewritten comparison #2 and work/explanation:</w:t>
            </w:r>
          </w:p>
          <w:p w:rsidR="00887EC2" w:rsidRDefault="00887EC2" w:rsidP="00B24A56">
            <w:pPr>
              <w:pStyle w:val="NoSpacing"/>
            </w:pPr>
          </w:p>
          <w:p w:rsidR="00887EC2" w:rsidRDefault="00887EC2" w:rsidP="00B24A56">
            <w:pPr>
              <w:pStyle w:val="NoSpacing"/>
            </w:pPr>
          </w:p>
          <w:p w:rsidR="00887EC2" w:rsidRDefault="00887EC2" w:rsidP="00B24A56">
            <w:pPr>
              <w:pStyle w:val="NoSpacing"/>
            </w:pPr>
          </w:p>
          <w:p w:rsidR="00887EC2" w:rsidRDefault="00887EC2" w:rsidP="00B24A56">
            <w:pPr>
              <w:pStyle w:val="NoSpacing"/>
            </w:pPr>
          </w:p>
          <w:p w:rsidR="00887EC2" w:rsidRDefault="00887EC2" w:rsidP="00B24A56">
            <w:pPr>
              <w:pStyle w:val="NoSpacing"/>
            </w:pPr>
          </w:p>
          <w:p w:rsidR="00887EC2" w:rsidRDefault="00887EC2" w:rsidP="00B24A56">
            <w:pPr>
              <w:pStyle w:val="NoSpacing"/>
            </w:pPr>
          </w:p>
          <w:p w:rsidR="00887EC2" w:rsidRDefault="00887EC2" w:rsidP="00B24A56">
            <w:pPr>
              <w:pStyle w:val="NoSpacing"/>
            </w:pPr>
          </w:p>
          <w:p w:rsidR="00EB112C" w:rsidRDefault="00EB112C" w:rsidP="00B24A56">
            <w:pPr>
              <w:pStyle w:val="NoSpacing"/>
            </w:pPr>
          </w:p>
          <w:p w:rsidR="00887EC2" w:rsidRDefault="00887EC2" w:rsidP="00B24A56">
            <w:pPr>
              <w:pStyle w:val="NoSpacing"/>
            </w:pPr>
          </w:p>
          <w:p w:rsidR="00887EC2" w:rsidRDefault="00887EC2" w:rsidP="00B24A56">
            <w:pPr>
              <w:pStyle w:val="NoSpacing"/>
            </w:pPr>
          </w:p>
          <w:p w:rsidR="00887EC2" w:rsidRDefault="00887EC2" w:rsidP="00B24A56">
            <w:pPr>
              <w:pStyle w:val="NoSpacing"/>
            </w:pPr>
          </w:p>
        </w:tc>
      </w:tr>
    </w:tbl>
    <w:p w:rsidR="00887EC2" w:rsidRDefault="00887EC2" w:rsidP="00B24A56">
      <w:pPr>
        <w:pStyle w:val="NoSpacing"/>
      </w:pPr>
    </w:p>
    <w:p w:rsidR="00887EC2" w:rsidRDefault="00887EC2" w:rsidP="00B24A56">
      <w:pPr>
        <w:pStyle w:val="NoSpacing"/>
      </w:pPr>
    </w:p>
    <w:p w:rsidR="00B24A56" w:rsidRDefault="00B24A56" w:rsidP="00B24A56">
      <w:pPr>
        <w:pStyle w:val="NoSpacing"/>
        <w:numPr>
          <w:ilvl w:val="0"/>
          <w:numId w:val="2"/>
        </w:numPr>
      </w:pPr>
      <w:r>
        <w:t>15% of teens who have infrequent family dinners have used tobacco.  4% of teens who have frequent family dinners have used tobacco.</w:t>
      </w:r>
    </w:p>
    <w:p w:rsidR="0011630F" w:rsidRDefault="0011630F" w:rsidP="0011630F">
      <w:pPr>
        <w:pStyle w:val="NoSpacing"/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EB112C" w:rsidTr="00FD036C">
        <w:tc>
          <w:tcPr>
            <w:tcW w:w="5175" w:type="dxa"/>
          </w:tcPr>
          <w:p w:rsidR="00EB112C" w:rsidRDefault="00EB112C" w:rsidP="00FD036C">
            <w:pPr>
              <w:pStyle w:val="NoSpacing"/>
            </w:pPr>
            <w:r>
              <w:t>Rewritten comparison #1 and work/explanation:</w:t>
            </w:r>
          </w:p>
        </w:tc>
        <w:tc>
          <w:tcPr>
            <w:tcW w:w="5175" w:type="dxa"/>
          </w:tcPr>
          <w:p w:rsidR="00EB112C" w:rsidRDefault="00EB112C" w:rsidP="00FD036C">
            <w:pPr>
              <w:pStyle w:val="NoSpacing"/>
            </w:pPr>
            <w:r>
              <w:t>Rewritten comparison #2 and work/explanation:</w:t>
            </w: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</w:tc>
      </w:tr>
    </w:tbl>
    <w:p w:rsidR="0011630F" w:rsidRDefault="0011630F" w:rsidP="0011630F">
      <w:pPr>
        <w:pStyle w:val="NoSpacing"/>
      </w:pPr>
    </w:p>
    <w:p w:rsidR="0011630F" w:rsidRDefault="0011630F" w:rsidP="0011630F">
      <w:pPr>
        <w:pStyle w:val="NoSpacing"/>
      </w:pPr>
    </w:p>
    <w:p w:rsidR="0011630F" w:rsidRDefault="0011630F" w:rsidP="0011630F">
      <w:pPr>
        <w:pStyle w:val="NoSpacing"/>
      </w:pPr>
    </w:p>
    <w:p w:rsidR="0011630F" w:rsidRDefault="0011630F" w:rsidP="0011630F">
      <w:pPr>
        <w:pStyle w:val="NoSpacing"/>
      </w:pPr>
    </w:p>
    <w:p w:rsidR="0011630F" w:rsidRDefault="0011630F" w:rsidP="0011630F">
      <w:pPr>
        <w:pStyle w:val="NoSpacing"/>
      </w:pPr>
    </w:p>
    <w:p w:rsidR="0011630F" w:rsidRDefault="0011630F" w:rsidP="0011630F">
      <w:pPr>
        <w:pStyle w:val="NoSpacing"/>
      </w:pPr>
    </w:p>
    <w:p w:rsidR="0011630F" w:rsidRDefault="00887EC2" w:rsidP="00B24A56">
      <w:pPr>
        <w:pStyle w:val="NoSpacing"/>
        <w:numPr>
          <w:ilvl w:val="0"/>
          <w:numId w:val="2"/>
        </w:numPr>
      </w:pPr>
      <w:r>
        <w:t>29% of teens who have infrequent family dinners say they can get alcohol within an hour, compared to 22% of teens who have frequent family dinners.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EB112C" w:rsidTr="00FD036C">
        <w:tc>
          <w:tcPr>
            <w:tcW w:w="5175" w:type="dxa"/>
          </w:tcPr>
          <w:p w:rsidR="00EB112C" w:rsidRDefault="00EB112C" w:rsidP="00FD036C">
            <w:pPr>
              <w:pStyle w:val="NoSpacing"/>
            </w:pPr>
            <w:r>
              <w:t>Rewritten comparison #1 and work/explanation:</w:t>
            </w:r>
          </w:p>
        </w:tc>
        <w:tc>
          <w:tcPr>
            <w:tcW w:w="5175" w:type="dxa"/>
          </w:tcPr>
          <w:p w:rsidR="00EB112C" w:rsidRDefault="00EB112C" w:rsidP="00FD036C">
            <w:pPr>
              <w:pStyle w:val="NoSpacing"/>
            </w:pPr>
            <w:r>
              <w:t>Rewritten comparison #2 and work/explanation:</w:t>
            </w: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  <w:p w:rsidR="00EB112C" w:rsidRDefault="00EB112C" w:rsidP="00FD036C">
            <w:pPr>
              <w:pStyle w:val="NoSpacing"/>
            </w:pPr>
          </w:p>
        </w:tc>
      </w:tr>
    </w:tbl>
    <w:p w:rsidR="00887EC2" w:rsidRDefault="00887EC2" w:rsidP="00887EC2">
      <w:pPr>
        <w:pStyle w:val="NoSpacing"/>
      </w:pPr>
    </w:p>
    <w:p w:rsidR="00887EC2" w:rsidRDefault="00887EC2" w:rsidP="00887EC2">
      <w:pPr>
        <w:pStyle w:val="NoSpacing"/>
      </w:pPr>
    </w:p>
    <w:p w:rsidR="00887EC2" w:rsidRDefault="00887EC2" w:rsidP="00887EC2">
      <w:pPr>
        <w:pStyle w:val="NoSpacing"/>
      </w:pPr>
    </w:p>
    <w:p w:rsidR="00887EC2" w:rsidRDefault="00887EC2" w:rsidP="00887EC2">
      <w:pPr>
        <w:pStyle w:val="NoSpacing"/>
      </w:pPr>
    </w:p>
    <w:p w:rsidR="0011630F" w:rsidRDefault="0011630F" w:rsidP="0011630F">
      <w:pPr>
        <w:pStyle w:val="NoSpacing"/>
      </w:pPr>
    </w:p>
    <w:p w:rsidR="0011630F" w:rsidRDefault="0011630F" w:rsidP="0011630F">
      <w:pPr>
        <w:pStyle w:val="NoSpacing"/>
      </w:pPr>
    </w:p>
    <w:p w:rsidR="0011630F" w:rsidRDefault="0011630F" w:rsidP="0011630F">
      <w:pPr>
        <w:pStyle w:val="NoSpacing"/>
      </w:pPr>
    </w:p>
    <w:p w:rsidR="0011630F" w:rsidRDefault="0011630F" w:rsidP="0011630F">
      <w:pPr>
        <w:pStyle w:val="NoSpacing"/>
      </w:pPr>
    </w:p>
    <w:p w:rsidR="00EB112C" w:rsidRDefault="00EB112C" w:rsidP="0011630F">
      <w:pPr>
        <w:pStyle w:val="NoSpacing"/>
      </w:pPr>
    </w:p>
    <w:p w:rsidR="00EB112C" w:rsidRDefault="00EB112C" w:rsidP="0011630F">
      <w:pPr>
        <w:pStyle w:val="NoSpacing"/>
      </w:pPr>
    </w:p>
    <w:p w:rsidR="00EB112C" w:rsidRDefault="00EB112C" w:rsidP="0011630F">
      <w:pPr>
        <w:pStyle w:val="NoSpacing"/>
      </w:pPr>
    </w:p>
    <w:p w:rsidR="00EB112C" w:rsidRDefault="00EB112C" w:rsidP="0011630F">
      <w:pPr>
        <w:pStyle w:val="NoSpacing"/>
      </w:pPr>
    </w:p>
    <w:p w:rsidR="00EB112C" w:rsidRDefault="00EB112C" w:rsidP="0011630F">
      <w:pPr>
        <w:pStyle w:val="NoSpacing"/>
      </w:pPr>
    </w:p>
    <w:p w:rsidR="00EB112C" w:rsidRDefault="00EB112C" w:rsidP="0011630F">
      <w:pPr>
        <w:pStyle w:val="NoSpacing"/>
      </w:pPr>
    </w:p>
    <w:p w:rsidR="0011630F" w:rsidRDefault="0011630F" w:rsidP="0011630F">
      <w:pPr>
        <w:pStyle w:val="NoSpacing"/>
      </w:pPr>
    </w:p>
    <w:p w:rsidR="0011630F" w:rsidRDefault="0011630F" w:rsidP="0011630F">
      <w:pPr>
        <w:pStyle w:val="NoSpacing"/>
      </w:pPr>
    </w:p>
    <w:p w:rsidR="0011630F" w:rsidRDefault="0011630F" w:rsidP="0011630F">
      <w:pPr>
        <w:pStyle w:val="NoSpacing"/>
      </w:pPr>
    </w:p>
    <w:p w:rsidR="0011630F" w:rsidRPr="0011630F" w:rsidRDefault="0011630F" w:rsidP="0011630F">
      <w:pPr>
        <w:pStyle w:val="NoSpacing"/>
        <w:rPr>
          <w:sz w:val="20"/>
          <w:szCs w:val="20"/>
        </w:rPr>
      </w:pPr>
      <w:r w:rsidRPr="0011630F">
        <w:rPr>
          <w:sz w:val="20"/>
          <w:szCs w:val="20"/>
        </w:rPr>
        <w:t>All data above comes from:  The Importance of Family Dinners VII, September 2011.  Conducted by QEV Analytics, Ltd./Knowledge Networks</w:t>
      </w:r>
      <w:r w:rsidR="00B24A56">
        <w:rPr>
          <w:sz w:val="20"/>
          <w:szCs w:val="20"/>
        </w:rPr>
        <w:t>, p. 7, 9.</w:t>
      </w:r>
    </w:p>
    <w:p w:rsidR="00072457" w:rsidRDefault="00886138"/>
    <w:sectPr w:rsidR="00072457" w:rsidSect="00887EC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5DF"/>
    <w:multiLevelType w:val="hybridMultilevel"/>
    <w:tmpl w:val="94EE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7B8"/>
    <w:multiLevelType w:val="hybridMultilevel"/>
    <w:tmpl w:val="C5BA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D3"/>
    <w:rsid w:val="0011630F"/>
    <w:rsid w:val="00886138"/>
    <w:rsid w:val="00887EC2"/>
    <w:rsid w:val="00900DD3"/>
    <w:rsid w:val="00A67346"/>
    <w:rsid w:val="00B24A56"/>
    <w:rsid w:val="00DF5E6E"/>
    <w:rsid w:val="00E72CAA"/>
    <w:rsid w:val="00EB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D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8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D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8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Gilpin</dc:creator>
  <cp:lastModifiedBy>Windows User</cp:lastModifiedBy>
  <cp:revision>2</cp:revision>
  <dcterms:created xsi:type="dcterms:W3CDTF">2014-02-26T20:49:00Z</dcterms:created>
  <dcterms:modified xsi:type="dcterms:W3CDTF">2014-02-26T20:49:00Z</dcterms:modified>
</cp:coreProperties>
</file>