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29" w:rsidRDefault="003B3429" w:rsidP="003B3429">
      <w:pPr>
        <w:pStyle w:val="NoSpacing"/>
        <w:jc w:val="right"/>
      </w:pPr>
      <w:r>
        <w:t>Name(s)</w:t>
      </w:r>
      <w:r w:rsidR="00EC0C37">
        <w:t xml:space="preserve"> </w:t>
      </w:r>
      <w:r>
        <w:t>_____________________</w:t>
      </w:r>
      <w:r w:rsidR="00EC0C37">
        <w:t>__________________________</w:t>
      </w:r>
    </w:p>
    <w:p w:rsidR="00C57B76" w:rsidRDefault="00C57B76" w:rsidP="00EC0C37">
      <w:pPr>
        <w:pStyle w:val="NoSpacing"/>
        <w:jc w:val="right"/>
      </w:pPr>
    </w:p>
    <w:p w:rsidR="00C57B76" w:rsidRDefault="00C57B76" w:rsidP="00C57B76">
      <w:pPr>
        <w:pStyle w:val="NoSpacing"/>
      </w:pPr>
      <w:r>
        <w:t>You may work together in teams of up to three students on this assignment as long as all students put in an equal amount of effort.  No freeloaders!</w:t>
      </w:r>
      <w:r w:rsidR="003B3429">
        <w:t xml:space="preserve">  </w:t>
      </w:r>
    </w:p>
    <w:p w:rsidR="00EC0C37" w:rsidRDefault="00EC0C37" w:rsidP="00EC0C37">
      <w:pPr>
        <w:pStyle w:val="NoSpacing"/>
        <w:jc w:val="right"/>
      </w:pPr>
    </w:p>
    <w:p w:rsidR="00EC0C37" w:rsidRDefault="00EC0C37" w:rsidP="00EC0C3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BA 353: </w:t>
      </w:r>
      <w:r w:rsidR="004B54FC">
        <w:rPr>
          <w:b/>
          <w:u w:val="single"/>
        </w:rPr>
        <w:t xml:space="preserve">Take Home Exam </w:t>
      </w:r>
      <w:r w:rsidR="00767437">
        <w:rPr>
          <w:b/>
          <w:u w:val="single"/>
        </w:rPr>
        <w:t>1</w:t>
      </w:r>
    </w:p>
    <w:p w:rsidR="00F637E6" w:rsidRDefault="00C57B76" w:rsidP="00A16CFE">
      <w:pPr>
        <w:jc w:val="center"/>
      </w:pPr>
      <w:r>
        <w:t xml:space="preserve">Due on Friday </w:t>
      </w:r>
      <w:r w:rsidR="0009409B">
        <w:t>2/7/20</w:t>
      </w:r>
      <w:r>
        <w:t xml:space="preserve"> by 2:30pm.</w:t>
      </w:r>
    </w:p>
    <w:tbl>
      <w:tblPr>
        <w:tblStyle w:val="TableGrid"/>
        <w:tblpPr w:leftFromText="180" w:rightFromText="180" w:vertAnchor="text" w:horzAnchor="margin" w:tblpXSpec="right" w:tblpY="134"/>
        <w:tblW w:w="0" w:type="auto"/>
        <w:tblLook w:val="04A0" w:firstRow="1" w:lastRow="0" w:firstColumn="1" w:lastColumn="0" w:noHBand="0" w:noVBand="1"/>
      </w:tblPr>
      <w:tblGrid>
        <w:gridCol w:w="1045"/>
        <w:gridCol w:w="1290"/>
        <w:gridCol w:w="1350"/>
      </w:tblGrid>
      <w:tr w:rsidR="0009409B" w:rsidTr="0009409B">
        <w:tc>
          <w:tcPr>
            <w:tcW w:w="1045" w:type="dxa"/>
          </w:tcPr>
          <w:p w:rsidR="0009409B" w:rsidRPr="005F264C" w:rsidRDefault="0009409B" w:rsidP="0009409B">
            <w:pPr>
              <w:rPr>
                <w:b/>
              </w:rPr>
            </w:pPr>
            <w:r w:rsidRPr="005F264C">
              <w:rPr>
                <w:b/>
              </w:rPr>
              <w:t>Method</w:t>
            </w:r>
          </w:p>
        </w:tc>
        <w:tc>
          <w:tcPr>
            <w:tcW w:w="1290" w:type="dxa"/>
          </w:tcPr>
          <w:p w:rsidR="0009409B" w:rsidRPr="005F264C" w:rsidRDefault="0009409B" w:rsidP="0009409B">
            <w:pPr>
              <w:rPr>
                <w:b/>
              </w:rPr>
            </w:pPr>
            <w:r w:rsidRPr="005F264C">
              <w:rPr>
                <w:b/>
              </w:rPr>
              <w:t>FC</w:t>
            </w:r>
          </w:p>
        </w:tc>
        <w:tc>
          <w:tcPr>
            <w:tcW w:w="1350" w:type="dxa"/>
          </w:tcPr>
          <w:p w:rsidR="0009409B" w:rsidRPr="005F264C" w:rsidRDefault="0009409B" w:rsidP="0009409B">
            <w:pPr>
              <w:rPr>
                <w:b/>
              </w:rPr>
            </w:pPr>
            <w:r w:rsidRPr="005F264C">
              <w:rPr>
                <w:b/>
              </w:rPr>
              <w:t>MAD</w:t>
            </w:r>
          </w:p>
        </w:tc>
      </w:tr>
      <w:tr w:rsidR="0009409B" w:rsidTr="0009409B">
        <w:tc>
          <w:tcPr>
            <w:tcW w:w="1045" w:type="dxa"/>
            <w:vAlign w:val="center"/>
          </w:tcPr>
          <w:p w:rsidR="0009409B" w:rsidRDefault="0009409B" w:rsidP="0009409B">
            <w:r>
              <w:t>Naïve</w:t>
            </w:r>
          </w:p>
        </w:tc>
        <w:tc>
          <w:tcPr>
            <w:tcW w:w="1290" w:type="dxa"/>
          </w:tcPr>
          <w:p w:rsidR="0009409B" w:rsidRDefault="0009409B" w:rsidP="0009409B"/>
          <w:p w:rsidR="0009409B" w:rsidRDefault="0009409B" w:rsidP="0009409B"/>
        </w:tc>
        <w:tc>
          <w:tcPr>
            <w:tcW w:w="1350" w:type="dxa"/>
          </w:tcPr>
          <w:p w:rsidR="0009409B" w:rsidRDefault="0009409B" w:rsidP="0009409B"/>
          <w:p w:rsidR="0009409B" w:rsidRDefault="0009409B" w:rsidP="0009409B"/>
          <w:p w:rsidR="0009409B" w:rsidRDefault="0009409B" w:rsidP="0009409B"/>
        </w:tc>
      </w:tr>
      <w:tr w:rsidR="0009409B" w:rsidTr="0009409B">
        <w:tc>
          <w:tcPr>
            <w:tcW w:w="1045" w:type="dxa"/>
            <w:vAlign w:val="center"/>
          </w:tcPr>
          <w:p w:rsidR="0009409B" w:rsidRDefault="0009409B" w:rsidP="0009409B">
            <w:proofErr w:type="gramStart"/>
            <w:r>
              <w:t>MA(</w:t>
            </w:r>
            <w:proofErr w:type="gramEnd"/>
            <w:r w:rsidRPr="004A2712">
              <w:rPr>
                <w:b/>
              </w:rPr>
              <w:t>12</w:t>
            </w:r>
            <w:r>
              <w:t>)</w:t>
            </w:r>
          </w:p>
        </w:tc>
        <w:tc>
          <w:tcPr>
            <w:tcW w:w="1290" w:type="dxa"/>
          </w:tcPr>
          <w:p w:rsidR="0009409B" w:rsidRDefault="0009409B" w:rsidP="0009409B"/>
          <w:p w:rsidR="0009409B" w:rsidRDefault="0009409B" w:rsidP="0009409B"/>
        </w:tc>
        <w:tc>
          <w:tcPr>
            <w:tcW w:w="1350" w:type="dxa"/>
          </w:tcPr>
          <w:p w:rsidR="0009409B" w:rsidRDefault="0009409B" w:rsidP="0009409B"/>
          <w:p w:rsidR="0009409B" w:rsidRDefault="0009409B" w:rsidP="0009409B"/>
          <w:p w:rsidR="0009409B" w:rsidRDefault="0009409B" w:rsidP="0009409B"/>
        </w:tc>
      </w:tr>
      <w:tr w:rsidR="0009409B" w:rsidTr="0009409B">
        <w:tc>
          <w:tcPr>
            <w:tcW w:w="1045" w:type="dxa"/>
            <w:vAlign w:val="center"/>
          </w:tcPr>
          <w:p w:rsidR="0009409B" w:rsidRDefault="0009409B" w:rsidP="0009409B">
            <w:r>
              <w:t>LR</w:t>
            </w:r>
          </w:p>
        </w:tc>
        <w:tc>
          <w:tcPr>
            <w:tcW w:w="1290" w:type="dxa"/>
          </w:tcPr>
          <w:p w:rsidR="0009409B" w:rsidRDefault="0009409B" w:rsidP="0009409B"/>
          <w:p w:rsidR="0009409B" w:rsidRDefault="0009409B" w:rsidP="0009409B"/>
        </w:tc>
        <w:tc>
          <w:tcPr>
            <w:tcW w:w="1350" w:type="dxa"/>
          </w:tcPr>
          <w:p w:rsidR="0009409B" w:rsidRDefault="0009409B" w:rsidP="0009409B"/>
          <w:p w:rsidR="0009409B" w:rsidRDefault="0009409B" w:rsidP="0009409B"/>
          <w:p w:rsidR="0009409B" w:rsidRDefault="0009409B" w:rsidP="0009409B"/>
        </w:tc>
      </w:tr>
      <w:tr w:rsidR="0009409B" w:rsidTr="0009409B">
        <w:tc>
          <w:tcPr>
            <w:tcW w:w="1045" w:type="dxa"/>
            <w:vAlign w:val="center"/>
          </w:tcPr>
          <w:p w:rsidR="0009409B" w:rsidRDefault="0009409B" w:rsidP="0009409B">
            <w:r>
              <w:t>ES(½)</w:t>
            </w:r>
          </w:p>
        </w:tc>
        <w:tc>
          <w:tcPr>
            <w:tcW w:w="1290" w:type="dxa"/>
          </w:tcPr>
          <w:p w:rsidR="0009409B" w:rsidRDefault="0009409B" w:rsidP="0009409B"/>
          <w:p w:rsidR="0009409B" w:rsidRDefault="0009409B" w:rsidP="0009409B"/>
        </w:tc>
        <w:tc>
          <w:tcPr>
            <w:tcW w:w="1350" w:type="dxa"/>
          </w:tcPr>
          <w:p w:rsidR="0009409B" w:rsidRDefault="0009409B" w:rsidP="0009409B"/>
          <w:p w:rsidR="0009409B" w:rsidRDefault="0009409B" w:rsidP="0009409B"/>
          <w:p w:rsidR="0009409B" w:rsidRDefault="0009409B" w:rsidP="0009409B"/>
        </w:tc>
      </w:tr>
    </w:tbl>
    <w:p w:rsidR="00833EB8" w:rsidRPr="0009409B" w:rsidRDefault="00F637E6" w:rsidP="0009409B">
      <w:pPr>
        <w:pStyle w:val="NoSpacing"/>
        <w:rPr>
          <w:b/>
        </w:rPr>
      </w:pPr>
      <w:r w:rsidRPr="00F637E6">
        <w:rPr>
          <w:b/>
        </w:rPr>
        <w:t>1</w:t>
      </w:r>
      <w:r w:rsidR="00042713" w:rsidRPr="00D079C7">
        <w:rPr>
          <w:b/>
        </w:rPr>
        <w:t xml:space="preserve">) </w:t>
      </w:r>
      <w:r w:rsidR="00C96DDF">
        <w:rPr>
          <w:b/>
        </w:rPr>
        <w:t>(</w:t>
      </w:r>
      <w:r w:rsidR="00771B52">
        <w:rPr>
          <w:b/>
        </w:rPr>
        <w:t>8</w:t>
      </w:r>
      <w:r w:rsidR="00C96DDF">
        <w:rPr>
          <w:b/>
        </w:rPr>
        <w:t xml:space="preserve"> points) </w:t>
      </w:r>
      <w:r w:rsidR="00042713" w:rsidRPr="00D079C7">
        <w:rPr>
          <w:b/>
        </w:rPr>
        <w:t>Forecasting:</w:t>
      </w:r>
      <w:r w:rsidR="00042713">
        <w:t xml:space="preserve">  </w:t>
      </w:r>
      <w:r w:rsidR="00D079C7">
        <w:t xml:space="preserve">The </w:t>
      </w:r>
      <w:r w:rsidR="00326835">
        <w:t xml:space="preserve">monthly </w:t>
      </w:r>
      <w:r w:rsidR="00D079C7">
        <w:t xml:space="preserve">data </w:t>
      </w:r>
      <w:r w:rsidR="00626F37">
        <w:t xml:space="preserve">for about 160 </w:t>
      </w:r>
      <w:r w:rsidR="007A3578">
        <w:t xml:space="preserve">StoneAge parts over </w:t>
      </w:r>
      <w:r w:rsidR="00D079C7">
        <w:t xml:space="preserve">a </w:t>
      </w:r>
      <w:r w:rsidR="007A3578">
        <w:t>three-year</w:t>
      </w:r>
      <w:r w:rsidR="00D079C7">
        <w:t xml:space="preserve"> period</w:t>
      </w:r>
      <w:r w:rsidR="007A3578">
        <w:t xml:space="preserve"> are available online</w:t>
      </w:r>
      <w:r w:rsidR="00D079C7">
        <w:t>.</w:t>
      </w:r>
      <w:r w:rsidR="00326835">
        <w:t xml:space="preserve">  </w:t>
      </w:r>
      <w:r w:rsidR="007A3578">
        <w:t>Why don’t we try to forecast</w:t>
      </w:r>
      <w:r w:rsidR="007D0348">
        <w:t xml:space="preserve"> just</w:t>
      </w:r>
      <w:r w:rsidR="007A3578">
        <w:t xml:space="preserve"> </w:t>
      </w:r>
      <w:r w:rsidR="007A3578" w:rsidRPr="004A2712">
        <w:rPr>
          <w:b/>
        </w:rPr>
        <w:t>P</w:t>
      </w:r>
      <w:r w:rsidR="003F4D60">
        <w:rPr>
          <w:b/>
        </w:rPr>
        <w:t xml:space="preserve">art </w:t>
      </w:r>
      <w:r w:rsidR="0009409B">
        <w:rPr>
          <w:b/>
        </w:rPr>
        <w:t xml:space="preserve">31 </w:t>
      </w:r>
      <w:r w:rsidR="007A3578">
        <w:t xml:space="preserve">for the next period </w:t>
      </w:r>
      <w:r w:rsidR="004A2712">
        <w:t>(January of 2018/per</w:t>
      </w:r>
      <w:r w:rsidR="003F4D60">
        <w:t xml:space="preserve">iod 37)?  This data is on </w:t>
      </w:r>
      <w:r w:rsidR="003F4D60" w:rsidRPr="0009409B">
        <w:rPr>
          <w:i/>
        </w:rPr>
        <w:t xml:space="preserve">Row </w:t>
      </w:r>
      <w:r w:rsidR="0009409B" w:rsidRPr="0009409B">
        <w:rPr>
          <w:i/>
        </w:rPr>
        <w:t>33</w:t>
      </w:r>
      <w:r w:rsidR="004A2712">
        <w:t xml:space="preserve"> of the spreadsheet from Columns F to AO.  </w:t>
      </w:r>
      <w:r w:rsidR="00326835">
        <w:t>Forecast period 3</w:t>
      </w:r>
      <w:r w:rsidR="004A2712">
        <w:t>7</w:t>
      </w:r>
      <w:r w:rsidR="00326835">
        <w:t xml:space="preserve"> using the Naïve method, Moving Averages with </w:t>
      </w:r>
      <w:r w:rsidR="00326835" w:rsidRPr="00326835">
        <w:rPr>
          <w:b/>
        </w:rPr>
        <w:t>N = 12</w:t>
      </w:r>
      <w:r w:rsidR="004A2712">
        <w:rPr>
          <w:b/>
        </w:rPr>
        <w:t xml:space="preserve"> </w:t>
      </w:r>
      <w:r w:rsidR="004A2712">
        <w:t>(</w:t>
      </w:r>
      <w:r w:rsidR="004A2712" w:rsidRPr="004A2712">
        <w:rPr>
          <w:i/>
        </w:rPr>
        <w:t>not</w:t>
      </w:r>
      <w:r w:rsidR="004A2712">
        <w:t xml:space="preserve"> N =2 as we’ve done in class)</w:t>
      </w:r>
      <w:r w:rsidR="00326835">
        <w:t>, Linear Regression and Exponential Smoothing with α = ½ (like we did in class).  Program MS Excel to do the calculations for you, don’t try to do this by hand</w:t>
      </w:r>
      <w:r w:rsidR="00C96DDF">
        <w:t xml:space="preserve">, and </w:t>
      </w:r>
      <w:r w:rsidR="00C96DDF" w:rsidRPr="003F4D60">
        <w:rPr>
          <w:b/>
          <w:i/>
        </w:rPr>
        <w:t xml:space="preserve">round your </w:t>
      </w:r>
      <w:r w:rsidR="00833EB8" w:rsidRPr="003F4D60">
        <w:rPr>
          <w:b/>
          <w:i/>
        </w:rPr>
        <w:t xml:space="preserve">final </w:t>
      </w:r>
      <w:r w:rsidR="00C96DDF" w:rsidRPr="003F4D60">
        <w:rPr>
          <w:b/>
          <w:i/>
        </w:rPr>
        <w:t xml:space="preserve">answers to </w:t>
      </w:r>
      <w:r w:rsidR="004A2712" w:rsidRPr="003F4D60">
        <w:rPr>
          <w:b/>
          <w:i/>
        </w:rPr>
        <w:t>one decimal place</w:t>
      </w:r>
      <w:r w:rsidR="004A2712">
        <w:t>.</w:t>
      </w:r>
    </w:p>
    <w:p w:rsidR="007D0348" w:rsidRDefault="007D0348" w:rsidP="00767437"/>
    <w:p w:rsidR="00833EB8" w:rsidRDefault="00833EB8" w:rsidP="00767437">
      <w:r>
        <w:t>According to MAD, which forecast is the best bet for period 3</w:t>
      </w:r>
      <w:r w:rsidR="00DF6051">
        <w:t>7</w:t>
      </w:r>
      <w:r>
        <w:t>?</w:t>
      </w:r>
    </w:p>
    <w:p w:rsidR="00833EB8" w:rsidRDefault="00833EB8" w:rsidP="00767437"/>
    <w:p w:rsidR="004A2712" w:rsidRDefault="004A2712" w:rsidP="00767437"/>
    <w:p w:rsidR="0009409B" w:rsidRDefault="0009409B" w:rsidP="00767437">
      <w:r>
        <w:t>Figure out what they are then calculate the two empty cells in AT33 and AU33.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9"/>
        <w:gridCol w:w="1298"/>
        <w:gridCol w:w="1298"/>
      </w:tblGrid>
      <w:tr w:rsidR="0009409B" w:rsidTr="00D3765A">
        <w:tc>
          <w:tcPr>
            <w:tcW w:w="549" w:type="dxa"/>
          </w:tcPr>
          <w:p w:rsidR="0009409B" w:rsidRDefault="0009409B" w:rsidP="00767437"/>
        </w:tc>
        <w:tc>
          <w:tcPr>
            <w:tcW w:w="1298" w:type="dxa"/>
          </w:tcPr>
          <w:p w:rsidR="0009409B" w:rsidRDefault="0009409B" w:rsidP="00767437">
            <w:r>
              <w:t>AT</w:t>
            </w:r>
          </w:p>
        </w:tc>
        <w:tc>
          <w:tcPr>
            <w:tcW w:w="1298" w:type="dxa"/>
          </w:tcPr>
          <w:p w:rsidR="0009409B" w:rsidRDefault="0009409B" w:rsidP="00767437">
            <w:r>
              <w:t>AU</w:t>
            </w:r>
          </w:p>
        </w:tc>
      </w:tr>
      <w:tr w:rsidR="0009409B" w:rsidTr="00D3765A">
        <w:tc>
          <w:tcPr>
            <w:tcW w:w="549" w:type="dxa"/>
            <w:vAlign w:val="center"/>
          </w:tcPr>
          <w:p w:rsidR="0009409B" w:rsidRDefault="0009409B" w:rsidP="0009409B">
            <w:pPr>
              <w:jc w:val="center"/>
            </w:pPr>
            <w:r>
              <w:t>33</w:t>
            </w:r>
          </w:p>
        </w:tc>
        <w:tc>
          <w:tcPr>
            <w:tcW w:w="1298" w:type="dxa"/>
          </w:tcPr>
          <w:p w:rsidR="0009409B" w:rsidRDefault="0009409B" w:rsidP="00767437"/>
          <w:p w:rsidR="0009409B" w:rsidRDefault="0009409B" w:rsidP="00767437"/>
          <w:p w:rsidR="0009409B" w:rsidRDefault="0009409B" w:rsidP="00767437"/>
        </w:tc>
        <w:tc>
          <w:tcPr>
            <w:tcW w:w="1298" w:type="dxa"/>
          </w:tcPr>
          <w:p w:rsidR="0009409B" w:rsidRDefault="0009409B" w:rsidP="00767437"/>
        </w:tc>
      </w:tr>
    </w:tbl>
    <w:p w:rsidR="00D3765A" w:rsidRDefault="00D3765A" w:rsidP="00767437"/>
    <w:p w:rsidR="002D52A2" w:rsidRDefault="002D52A2" w:rsidP="00767437">
      <w:r>
        <w:t xml:space="preserve">The abbreviations </w:t>
      </w:r>
      <w:r w:rsidR="00771B52">
        <w:t>at the top of columns BB, BC, BD and BE are other measures of error (with the MAD that you know in column BF).  Use google to determine what these four</w:t>
      </w:r>
      <w:r w:rsidR="00BD36B2">
        <w:t xml:space="preserve"> other</w:t>
      </w:r>
      <w:r w:rsidR="00771B52">
        <w:t xml:space="preserve"> abbreviations stand for.</w:t>
      </w:r>
    </w:p>
    <w:p w:rsidR="00771B52" w:rsidRDefault="00771B52" w:rsidP="00767437">
      <w:bookmarkStart w:id="0" w:name="_GoBack"/>
      <w:bookmarkEnd w:id="0"/>
    </w:p>
    <w:p w:rsidR="00771B52" w:rsidRDefault="00771B52" w:rsidP="00767437"/>
    <w:p w:rsidR="00771B52" w:rsidRDefault="005F264C" w:rsidP="00767437">
      <w:r>
        <w:t>I added the squiggly lines in columns AP and AQ using the Excel “</w:t>
      </w:r>
      <w:proofErr w:type="spellStart"/>
      <w:r>
        <w:t>Sparklines</w:t>
      </w:r>
      <w:proofErr w:type="spellEnd"/>
      <w:r>
        <w:t>” function.  (</w:t>
      </w:r>
      <w:r w:rsidRPr="005F264C">
        <w:rPr>
          <w:i/>
        </w:rPr>
        <w:t>That</w:t>
      </w:r>
      <w:r>
        <w:t xml:space="preserve"> is how cool I</w:t>
      </w:r>
      <w:r w:rsidR="007C3567">
        <w:t xml:space="preserve"> am.) What</w:t>
      </w:r>
      <w:r>
        <w:t xml:space="preserve"> </w:t>
      </w:r>
      <w:r w:rsidR="007C3567">
        <w:t xml:space="preserve">patterns do </w:t>
      </w:r>
      <w:r>
        <w:t xml:space="preserve">these </w:t>
      </w:r>
      <w:proofErr w:type="spellStart"/>
      <w:r>
        <w:t>sparklines</w:t>
      </w:r>
      <w:proofErr w:type="spellEnd"/>
      <w:r>
        <w:t xml:space="preserve"> represent in both columns AR and in AQ?</w:t>
      </w:r>
    </w:p>
    <w:p w:rsidR="00771B52" w:rsidRDefault="00771B52" w:rsidP="00767437"/>
    <w:p w:rsidR="007C3567" w:rsidRDefault="007C3567" w:rsidP="00767437"/>
    <w:p w:rsidR="007C3567" w:rsidRPr="007C3567" w:rsidRDefault="007C3567" w:rsidP="00767437">
      <w:r>
        <w:rPr>
          <w:b/>
        </w:rPr>
        <w:t xml:space="preserve">Extra Credit:  </w:t>
      </w:r>
      <w:r>
        <w:t>The MAD value in cell BF33 is 11.97.  This is</w:t>
      </w:r>
      <w:r w:rsidR="00BD36B2">
        <w:t xml:space="preserve"> a</w:t>
      </w:r>
      <w:r>
        <w:t xml:space="preserve"> lower </w:t>
      </w:r>
      <w:r w:rsidR="00BD36B2">
        <w:t xml:space="preserve">value </w:t>
      </w:r>
      <w:r>
        <w:t>than from any of the four methods we used above.  What forecasting method did they use that produced this MAD?  Prove it!  [Anti-hint:  I don’t know the answer.]</w:t>
      </w:r>
    </w:p>
    <w:p w:rsidR="007C3567" w:rsidRDefault="007C3567" w:rsidP="00767437"/>
    <w:p w:rsidR="00042713" w:rsidRPr="00833EB8" w:rsidRDefault="00042713" w:rsidP="00767437">
      <w:pPr>
        <w:rPr>
          <w:b/>
        </w:rPr>
      </w:pPr>
    </w:p>
    <w:sectPr w:rsidR="00042713" w:rsidRPr="00833EB8" w:rsidSect="00EC0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1015F"/>
    <w:multiLevelType w:val="hybridMultilevel"/>
    <w:tmpl w:val="645A6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37"/>
    <w:rsid w:val="00021564"/>
    <w:rsid w:val="00042713"/>
    <w:rsid w:val="0004719C"/>
    <w:rsid w:val="0009409B"/>
    <w:rsid w:val="00165983"/>
    <w:rsid w:val="001F073F"/>
    <w:rsid w:val="00210655"/>
    <w:rsid w:val="002D1549"/>
    <w:rsid w:val="002D52A2"/>
    <w:rsid w:val="002E0683"/>
    <w:rsid w:val="00326835"/>
    <w:rsid w:val="003B3429"/>
    <w:rsid w:val="003D413D"/>
    <w:rsid w:val="003F4D60"/>
    <w:rsid w:val="00412B36"/>
    <w:rsid w:val="00474000"/>
    <w:rsid w:val="004A2712"/>
    <w:rsid w:val="004B54FC"/>
    <w:rsid w:val="004C5FD1"/>
    <w:rsid w:val="004E6B1A"/>
    <w:rsid w:val="004E6CED"/>
    <w:rsid w:val="005F264C"/>
    <w:rsid w:val="006079FA"/>
    <w:rsid w:val="00626F37"/>
    <w:rsid w:val="00693BCF"/>
    <w:rsid w:val="006A5705"/>
    <w:rsid w:val="006B2D52"/>
    <w:rsid w:val="006C5D91"/>
    <w:rsid w:val="006E1DA6"/>
    <w:rsid w:val="006E7C8D"/>
    <w:rsid w:val="00767437"/>
    <w:rsid w:val="00771B52"/>
    <w:rsid w:val="007A02B8"/>
    <w:rsid w:val="007A200E"/>
    <w:rsid w:val="007A3578"/>
    <w:rsid w:val="007C3567"/>
    <w:rsid w:val="007D0348"/>
    <w:rsid w:val="00827D21"/>
    <w:rsid w:val="00833EB8"/>
    <w:rsid w:val="008E3DC4"/>
    <w:rsid w:val="00902757"/>
    <w:rsid w:val="009678D3"/>
    <w:rsid w:val="00A16CFE"/>
    <w:rsid w:val="00A30FF7"/>
    <w:rsid w:val="00A82576"/>
    <w:rsid w:val="00AF366E"/>
    <w:rsid w:val="00BB6144"/>
    <w:rsid w:val="00BD36B2"/>
    <w:rsid w:val="00C27FBE"/>
    <w:rsid w:val="00C57B76"/>
    <w:rsid w:val="00C61E94"/>
    <w:rsid w:val="00C94159"/>
    <w:rsid w:val="00C96DDF"/>
    <w:rsid w:val="00CA3332"/>
    <w:rsid w:val="00D079C7"/>
    <w:rsid w:val="00D20BE9"/>
    <w:rsid w:val="00D3765A"/>
    <w:rsid w:val="00DF6051"/>
    <w:rsid w:val="00E168B2"/>
    <w:rsid w:val="00E61081"/>
    <w:rsid w:val="00E842D9"/>
    <w:rsid w:val="00EC0C37"/>
    <w:rsid w:val="00ED5314"/>
    <w:rsid w:val="00ED6A54"/>
    <w:rsid w:val="00F637E6"/>
    <w:rsid w:val="00F81270"/>
    <w:rsid w:val="00F8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FDEB"/>
  <w15:docId w15:val="{A736B45E-CD80-48F7-8E4F-52E199D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6A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37E6"/>
    <w:pPr>
      <w:ind w:left="720"/>
      <w:contextualSpacing/>
    </w:pPr>
  </w:style>
  <w:style w:type="table" w:styleId="TableGrid">
    <w:name w:val="Table Grid"/>
    <w:basedOn w:val="TableNormal"/>
    <w:uiPriority w:val="59"/>
    <w:rsid w:val="00C9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C1EA-C0E2-4A72-B35E-14278745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Huggins, Eric</cp:lastModifiedBy>
  <cp:revision>3</cp:revision>
  <cp:lastPrinted>2018-09-13T14:33:00Z</cp:lastPrinted>
  <dcterms:created xsi:type="dcterms:W3CDTF">2020-01-27T19:14:00Z</dcterms:created>
  <dcterms:modified xsi:type="dcterms:W3CDTF">2020-01-27T19:18:00Z</dcterms:modified>
</cp:coreProperties>
</file>