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D59" w:rsidRDefault="005A0D59" w:rsidP="005A0D59">
      <w:pPr>
        <w:pStyle w:val="xmsonormal"/>
      </w:pPr>
      <w:bookmarkStart w:id="0" w:name="_GoBack"/>
      <w:r>
        <w:t>Dear Students:</w:t>
      </w:r>
    </w:p>
    <w:bookmarkEnd w:id="0"/>
    <w:p w:rsidR="005A0D59" w:rsidRDefault="005A0D59" w:rsidP="005A0D59">
      <w:pPr>
        <w:pStyle w:val="xmsonormal"/>
      </w:pPr>
      <w:r>
        <w:t> </w:t>
      </w:r>
    </w:p>
    <w:p w:rsidR="005A0D59" w:rsidRDefault="005A0D59" w:rsidP="005A0D59">
      <w:pPr>
        <w:pStyle w:val="xmsonormal"/>
      </w:pPr>
      <w:r>
        <w:t xml:space="preserve">As you </w:t>
      </w:r>
      <w:r w:rsidR="00620156">
        <w:t>know</w:t>
      </w:r>
      <w:r>
        <w:t>, Fort Lewis College is moving to a Pass/Fail type grading system for this term to alleviate some of the anxiety due to the COVID-19 pandemic and all courses very suddenly moving to an online format.  The default grades for the term will be Pass/Pass-/No Credit, where a Pass is basically an A, B or C, a Pass- is a D and No Credit is an F.</w:t>
      </w:r>
    </w:p>
    <w:p w:rsidR="005A0D59" w:rsidRDefault="005A0D59" w:rsidP="005A0D59">
      <w:pPr>
        <w:pStyle w:val="xmsonormal"/>
      </w:pPr>
      <w:r>
        <w:t> </w:t>
      </w:r>
    </w:p>
    <w:p w:rsidR="005A0D59" w:rsidRDefault="005A0D59" w:rsidP="005A0D59">
      <w:pPr>
        <w:pStyle w:val="xmsonormal"/>
      </w:pPr>
      <w:r>
        <w:t>However, you as a student will have the option to receive a traditional letter grade instead. This choice must be made by April 27</w:t>
      </w:r>
      <w:r>
        <w:rPr>
          <w:vertAlign w:val="superscript"/>
        </w:rPr>
        <w:t>th</w:t>
      </w:r>
      <w:r>
        <w:t xml:space="preserve">, 2020.  As you’ve learned in your finance classes, options have </w:t>
      </w:r>
      <w:r>
        <w:rPr>
          <w:i/>
          <w:iCs/>
        </w:rPr>
        <w:t>value</w:t>
      </w:r>
      <w:r>
        <w:t xml:space="preserve"> so consider the options below carefully.</w:t>
      </w:r>
    </w:p>
    <w:p w:rsidR="005A0D59" w:rsidRDefault="005A0D59" w:rsidP="005A0D59">
      <w:pPr>
        <w:pStyle w:val="xmsonormal"/>
      </w:pPr>
      <w:r>
        <w:t> </w:t>
      </w:r>
    </w:p>
    <w:p w:rsidR="005A0D59" w:rsidRDefault="005A0D59" w:rsidP="005A0D59">
      <w:pPr>
        <w:pStyle w:val="xmsonormal"/>
      </w:pPr>
      <w:r>
        <w:t>The way grading will work in our class will be as follows:</w:t>
      </w:r>
    </w:p>
    <w:p w:rsidR="005A0D59" w:rsidRDefault="005A0D59" w:rsidP="005A0D59">
      <w:pPr>
        <w:pStyle w:val="xmsonormal"/>
      </w:pPr>
      <w:r>
        <w:t> </w:t>
      </w:r>
    </w:p>
    <w:p w:rsidR="005A0D59" w:rsidRDefault="005A0D59" w:rsidP="005A0D59">
      <w:pPr>
        <w:numPr>
          <w:ilvl w:val="0"/>
          <w:numId w:val="1"/>
        </w:numPr>
        <w:rPr>
          <w:rFonts w:eastAsia="Times New Roman"/>
        </w:rPr>
      </w:pPr>
      <w:r>
        <w:rPr>
          <w:rFonts w:eastAsia="Times New Roman"/>
        </w:rPr>
        <w:t xml:space="preserve">If you are content with the P/P-/NC grading system, </w:t>
      </w:r>
      <w:r>
        <w:rPr>
          <w:rFonts w:eastAsia="Times New Roman"/>
          <w:b/>
          <w:bCs/>
        </w:rPr>
        <w:t>do nothing</w:t>
      </w:r>
      <w:r>
        <w:rPr>
          <w:rFonts w:eastAsia="Times New Roman"/>
        </w:rPr>
        <w:t>.  This is the default and your grade will come from this system.</w:t>
      </w:r>
    </w:p>
    <w:p w:rsidR="005A0D59" w:rsidRDefault="005A0D59" w:rsidP="005A0D59">
      <w:pPr>
        <w:numPr>
          <w:ilvl w:val="0"/>
          <w:numId w:val="1"/>
        </w:numPr>
        <w:rPr>
          <w:rFonts w:eastAsia="Times New Roman"/>
        </w:rPr>
      </w:pPr>
      <w:r>
        <w:rPr>
          <w:rFonts w:eastAsia="Times New Roman"/>
        </w:rPr>
        <w:t>If you would like a letter grade instead, you need to let me know this via email by April 27</w:t>
      </w:r>
      <w:r>
        <w:rPr>
          <w:rFonts w:eastAsia="Times New Roman"/>
          <w:vertAlign w:val="superscript"/>
        </w:rPr>
        <w:t>th</w:t>
      </w:r>
      <w:r w:rsidR="00961C61">
        <w:rPr>
          <w:rFonts w:eastAsia="Times New Roman"/>
        </w:rPr>
        <w:t xml:space="preserve"> – this is an FLC deadline, not mine. </w:t>
      </w:r>
      <w:r>
        <w:rPr>
          <w:rFonts w:eastAsia="Times New Roman"/>
        </w:rPr>
        <w:t xml:space="preserve"> Here you have two options:</w:t>
      </w:r>
    </w:p>
    <w:p w:rsidR="005A0D59" w:rsidRDefault="005A0D59" w:rsidP="005A0D59">
      <w:pPr>
        <w:numPr>
          <w:ilvl w:val="1"/>
          <w:numId w:val="1"/>
        </w:numPr>
        <w:rPr>
          <w:rFonts w:eastAsia="Times New Roman"/>
        </w:rPr>
      </w:pPr>
      <w:r>
        <w:rPr>
          <w:rFonts w:eastAsia="Times New Roman"/>
        </w:rPr>
        <w:t xml:space="preserve">If you are content with whatever letter grade you end up with, let me know you want </w:t>
      </w:r>
      <w:r>
        <w:rPr>
          <w:rFonts w:eastAsia="Times New Roman"/>
          <w:b/>
          <w:bCs/>
        </w:rPr>
        <w:t>Letter Grade Option Whatever.</w:t>
      </w:r>
    </w:p>
    <w:p w:rsidR="005A0D59" w:rsidRDefault="005A0D59" w:rsidP="005A0D59">
      <w:pPr>
        <w:numPr>
          <w:ilvl w:val="1"/>
          <w:numId w:val="1"/>
        </w:numPr>
        <w:rPr>
          <w:rFonts w:eastAsia="Times New Roman"/>
        </w:rPr>
      </w:pPr>
      <w:r>
        <w:rPr>
          <w:rFonts w:eastAsia="Times New Roman"/>
        </w:rPr>
        <w:t>Here we have a rare, no risk, potentially high return option!  This is a little more complicated, but might be worth your time to think about.   </w:t>
      </w:r>
      <w:r>
        <w:rPr>
          <w:rFonts w:eastAsia="Times New Roman"/>
          <w:i/>
          <w:iCs/>
        </w:rPr>
        <w:t>You may choose the minimum letter grade you are willing to accept</w:t>
      </w:r>
      <w:r>
        <w:rPr>
          <w:rFonts w:eastAsia="Times New Roman"/>
        </w:rPr>
        <w:t xml:space="preserve">.  If you make that grade or better, you get the letter grade you earned.  If you don’t quite make that grade, you will get a Pass instead (as long as you pass the class of course).  </w:t>
      </w:r>
    </w:p>
    <w:p w:rsidR="005A0D59" w:rsidRDefault="005A0D59" w:rsidP="005A0D59">
      <w:pPr>
        <w:ind w:left="1440"/>
      </w:pPr>
    </w:p>
    <w:p w:rsidR="005A0D59" w:rsidRDefault="005A0D59" w:rsidP="005A0D59">
      <w:pPr>
        <w:ind w:left="1440"/>
      </w:pPr>
      <w:r>
        <w:t xml:space="preserve">It might be as simple as you would be happy with any kind of A or B for the class (A, A-, B+, B or B-) but not a C+ or lower.  In this case, you would tell me that the option you want is </w:t>
      </w:r>
      <w:r>
        <w:rPr>
          <w:b/>
          <w:bCs/>
        </w:rPr>
        <w:t xml:space="preserve">Letter Grade Option B- or better.  </w:t>
      </w:r>
      <w:r>
        <w:t>If your final percentage ends up at 80% or above, you will receive the corresponding letter grade; otherwise your grade will revert to the P/P-/NC system.</w:t>
      </w:r>
    </w:p>
    <w:p w:rsidR="005A0D59" w:rsidRDefault="005A0D59" w:rsidP="005A0D59"/>
    <w:p w:rsidR="005A0D59" w:rsidRDefault="005A0D59" w:rsidP="005A0D59">
      <w:pPr>
        <w:ind w:left="1440"/>
      </w:pPr>
      <w:r>
        <w:t>Or, assume you have a GPA of 3.1.  In this case, a B+ (worth 3.33 on your GPA) or better improves your GPA, whereas a B (worth 3.0) or worse</w:t>
      </w:r>
      <w:r w:rsidR="0054457C">
        <w:t xml:space="preserve"> slightly</w:t>
      </w:r>
      <w:r>
        <w:t xml:space="preserve"> lowers your GPA.  If this were you, you might accept a B+ or better, but take the Pass if you get a B or worse, and you would tell me that the option you want is </w:t>
      </w:r>
      <w:r>
        <w:rPr>
          <w:b/>
          <w:bCs/>
        </w:rPr>
        <w:t>Letter Grade Option B+ or better.</w:t>
      </w:r>
      <w:r>
        <w:t xml:space="preserve">  Or </w:t>
      </w:r>
      <w:r>
        <w:rPr>
          <w:i/>
          <w:iCs/>
        </w:rPr>
        <w:t>possibly</w:t>
      </w:r>
      <w:r>
        <w:t xml:space="preserve"> you would be OK with a B too, </w:t>
      </w:r>
      <w:r>
        <w:rPr>
          <w:i/>
          <w:iCs/>
        </w:rPr>
        <w:t>it will be your choice</w:t>
      </w:r>
      <w:r>
        <w:t xml:space="preserve">.  </w:t>
      </w:r>
    </w:p>
    <w:p w:rsidR="005A0D59" w:rsidRDefault="005A0D59" w:rsidP="005A0D59">
      <w:pPr>
        <w:ind w:left="1440"/>
      </w:pPr>
    </w:p>
    <w:p w:rsidR="005A0D59" w:rsidRDefault="005A0D59" w:rsidP="005A0D59">
      <w:pPr>
        <w:ind w:left="1440"/>
      </w:pPr>
      <w:r>
        <w:t>Clearly this is the most complicated option, but my hope is that this option achieves two goals:  1) It relieves some of the anxiety from our current situation (if you don’t make the grade you want, you still pass the class!) but also 2) provides a positive incentive to continue striving to get best grade you can for the course.  I’m happy to discuss more details via email or on Zoom.</w:t>
      </w:r>
    </w:p>
    <w:p w:rsidR="005A0D59" w:rsidRDefault="00502D43" w:rsidP="005A0D59">
      <w:pPr>
        <w:pStyle w:val="xmsonormal"/>
      </w:pPr>
      <w:r>
        <w:rPr>
          <w:noProof/>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99382</wp:posOffset>
                </wp:positionV>
                <wp:extent cx="6400800" cy="872837"/>
                <wp:effectExtent l="19050" t="19050" r="38100" b="41910"/>
                <wp:wrapNone/>
                <wp:docPr id="1" name="Rectangle: Rounded Corners 1"/>
                <wp:cNvGraphicFramePr/>
                <a:graphic xmlns:a="http://schemas.openxmlformats.org/drawingml/2006/main">
                  <a:graphicData uri="http://schemas.microsoft.com/office/word/2010/wordprocessingShape">
                    <wps:wsp>
                      <wps:cNvSpPr/>
                      <wps:spPr>
                        <a:xfrm>
                          <a:off x="0" y="0"/>
                          <a:ext cx="6400800" cy="872837"/>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2594DD" id="Rectangle: Rounded Corners 1" o:spid="_x0000_s1026" style="position:absolute;margin-left:-21.5pt;margin-top:7.85pt;width:7in;height: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" filled="f" strokecolor="red" strokeweight="4.5pt">
                <v:stroke joinstyle="miter"/>
              </v:roundrect>
            </w:pict>
          </mc:Fallback>
        </mc:AlternateContent>
      </w:r>
      <w:r w:rsidR="005A0D59">
        <w:t> </w:t>
      </w:r>
    </w:p>
    <w:p w:rsidR="00502D43" w:rsidRPr="00961C61" w:rsidRDefault="00502D43" w:rsidP="005A0D59">
      <w:pPr>
        <w:pStyle w:val="xmsonormal"/>
        <w:rPr>
          <w:b/>
          <w:color w:val="FF0000"/>
          <w:sz w:val="28"/>
          <w:szCs w:val="28"/>
        </w:rPr>
      </w:pPr>
      <w:r w:rsidRPr="00961C61">
        <w:rPr>
          <w:b/>
          <w:color w:val="FF0000"/>
          <w:sz w:val="28"/>
          <w:szCs w:val="28"/>
        </w:rPr>
        <w:t>Again, if you are content with P/P-/NC grade system, do nothing.  If you want a letter grade instead, you must email me (so I have a record) with either</w:t>
      </w:r>
      <w:r w:rsidRPr="00961C61">
        <w:rPr>
          <w:b/>
          <w:i/>
          <w:color w:val="FF0000"/>
          <w:sz w:val="28"/>
          <w:szCs w:val="28"/>
        </w:rPr>
        <w:t xml:space="preserve"> whatever</w:t>
      </w:r>
      <w:r w:rsidRPr="00961C61">
        <w:rPr>
          <w:b/>
          <w:color w:val="FF0000"/>
          <w:sz w:val="28"/>
          <w:szCs w:val="28"/>
        </w:rPr>
        <w:t xml:space="preserve"> or </w:t>
      </w:r>
      <w:r w:rsidR="00B27716" w:rsidRPr="00961C61">
        <w:rPr>
          <w:b/>
          <w:color w:val="FF0000"/>
          <w:sz w:val="28"/>
          <w:szCs w:val="28"/>
        </w:rPr>
        <w:t xml:space="preserve">your </w:t>
      </w:r>
      <w:r w:rsidRPr="00961C61">
        <w:rPr>
          <w:b/>
          <w:i/>
          <w:color w:val="FF0000"/>
          <w:sz w:val="28"/>
          <w:szCs w:val="28"/>
        </w:rPr>
        <w:t>minimum grade</w:t>
      </w:r>
      <w:r w:rsidRPr="00961C61">
        <w:rPr>
          <w:b/>
          <w:color w:val="FF0000"/>
          <w:sz w:val="28"/>
          <w:szCs w:val="28"/>
        </w:rPr>
        <w:t xml:space="preserve"> </w:t>
      </w:r>
      <w:r w:rsidR="00B27716" w:rsidRPr="00961C61">
        <w:rPr>
          <w:b/>
          <w:color w:val="FF0000"/>
          <w:sz w:val="28"/>
          <w:szCs w:val="28"/>
        </w:rPr>
        <w:t>threshold</w:t>
      </w:r>
      <w:r w:rsidRPr="00961C61">
        <w:rPr>
          <w:b/>
          <w:color w:val="FF0000"/>
          <w:sz w:val="28"/>
          <w:szCs w:val="28"/>
        </w:rPr>
        <w:t xml:space="preserve"> by April 27</w:t>
      </w:r>
      <w:r w:rsidRPr="00961C61">
        <w:rPr>
          <w:b/>
          <w:color w:val="FF0000"/>
          <w:sz w:val="28"/>
          <w:szCs w:val="28"/>
          <w:vertAlign w:val="superscript"/>
        </w:rPr>
        <w:t>th</w:t>
      </w:r>
      <w:r w:rsidRPr="00961C61">
        <w:rPr>
          <w:b/>
          <w:color w:val="FF0000"/>
          <w:sz w:val="28"/>
          <w:szCs w:val="28"/>
        </w:rPr>
        <w:t>.</w:t>
      </w:r>
    </w:p>
    <w:p w:rsidR="00502D43" w:rsidRDefault="00502D43" w:rsidP="005A0D59">
      <w:pPr>
        <w:pStyle w:val="xmsonormal"/>
      </w:pPr>
    </w:p>
    <w:p w:rsidR="005A0D59" w:rsidRDefault="005A0D59" w:rsidP="005A0D59">
      <w:pPr>
        <w:pStyle w:val="xmsonormal"/>
      </w:pPr>
      <w:r>
        <w:lastRenderedPageBreak/>
        <w:t>Your current grades and percentage are on Canvas.  By April 27</w:t>
      </w:r>
      <w:r>
        <w:rPr>
          <w:vertAlign w:val="superscript"/>
        </w:rPr>
        <w:t>th</w:t>
      </w:r>
      <w:r>
        <w:t>, you will have a pretty good idea of your course grade.  As stated in they syllabus, letter grades are assigned as:</w:t>
      </w:r>
    </w:p>
    <w:p w:rsidR="005A0D59" w:rsidRDefault="005A0D59" w:rsidP="005A0D59">
      <w:pPr>
        <w:pStyle w:val="xmsonormal"/>
      </w:pPr>
    </w:p>
    <w:tbl>
      <w:tblPr>
        <w:tblStyle w:val="TableGrid"/>
        <w:tblW w:w="0" w:type="auto"/>
        <w:tblLook w:val="04A0" w:firstRow="1" w:lastRow="0" w:firstColumn="1" w:lastColumn="0" w:noHBand="0" w:noVBand="1"/>
      </w:tblPr>
      <w:tblGrid>
        <w:gridCol w:w="1336"/>
        <w:gridCol w:w="1809"/>
        <w:gridCol w:w="1050"/>
        <w:gridCol w:w="1261"/>
      </w:tblGrid>
      <w:tr w:rsidR="005A0D59" w:rsidTr="00961C61">
        <w:tc>
          <w:tcPr>
            <w:tcW w:w="1336" w:type="dxa"/>
          </w:tcPr>
          <w:p w:rsidR="005A0D59" w:rsidRDefault="005A0D59" w:rsidP="0054457C">
            <w:pPr>
              <w:pStyle w:val="xmsonormal"/>
              <w:jc w:val="center"/>
            </w:pPr>
            <w:r>
              <w:t>Percentage</w:t>
            </w:r>
          </w:p>
        </w:tc>
        <w:tc>
          <w:tcPr>
            <w:tcW w:w="1809" w:type="dxa"/>
          </w:tcPr>
          <w:p w:rsidR="005A0D59" w:rsidRDefault="005A0D59" w:rsidP="0054457C">
            <w:pPr>
              <w:pStyle w:val="xmsonormal"/>
              <w:jc w:val="center"/>
            </w:pPr>
            <w:r>
              <w:t>Points (out of 450</w:t>
            </w:r>
            <w:r w:rsidR="00961C61">
              <w:t xml:space="preserve"> possible</w:t>
            </w:r>
            <w:r>
              <w:t>)</w:t>
            </w:r>
          </w:p>
        </w:tc>
        <w:tc>
          <w:tcPr>
            <w:tcW w:w="1050" w:type="dxa"/>
          </w:tcPr>
          <w:p w:rsidR="005A0D59" w:rsidRDefault="005A0D59" w:rsidP="0054457C">
            <w:pPr>
              <w:pStyle w:val="xmsonormal"/>
              <w:jc w:val="center"/>
            </w:pPr>
            <w:r>
              <w:t>Grade</w:t>
            </w:r>
          </w:p>
        </w:tc>
        <w:tc>
          <w:tcPr>
            <w:tcW w:w="1261" w:type="dxa"/>
          </w:tcPr>
          <w:p w:rsidR="005A0D59" w:rsidRDefault="005A0D59" w:rsidP="0054457C">
            <w:pPr>
              <w:pStyle w:val="xmsonormal"/>
              <w:jc w:val="center"/>
            </w:pPr>
            <w:r>
              <w:t>GPA Value</w:t>
            </w:r>
          </w:p>
        </w:tc>
      </w:tr>
      <w:tr w:rsidR="005A0D59" w:rsidTr="00961C61">
        <w:tc>
          <w:tcPr>
            <w:tcW w:w="1336" w:type="dxa"/>
          </w:tcPr>
          <w:p w:rsidR="005A0D59" w:rsidRDefault="005A0D59" w:rsidP="0054457C">
            <w:pPr>
              <w:pStyle w:val="xmsonormal"/>
              <w:jc w:val="center"/>
            </w:pPr>
            <w:r>
              <w:t xml:space="preserve">94 </w:t>
            </w:r>
            <w:r w:rsidR="0054457C">
              <w:t>and up</w:t>
            </w:r>
          </w:p>
        </w:tc>
        <w:tc>
          <w:tcPr>
            <w:tcW w:w="1809" w:type="dxa"/>
          </w:tcPr>
          <w:p w:rsidR="005A0D59" w:rsidRDefault="005A0D59" w:rsidP="0054457C">
            <w:pPr>
              <w:pStyle w:val="xmsonormal"/>
              <w:jc w:val="center"/>
            </w:pPr>
            <w:r>
              <w:t>423</w:t>
            </w:r>
          </w:p>
        </w:tc>
        <w:tc>
          <w:tcPr>
            <w:tcW w:w="1050" w:type="dxa"/>
          </w:tcPr>
          <w:p w:rsidR="005A0D59" w:rsidRDefault="005A0D59" w:rsidP="0054457C">
            <w:pPr>
              <w:pStyle w:val="xmsonormal"/>
              <w:jc w:val="center"/>
            </w:pPr>
            <w:r>
              <w:t>A</w:t>
            </w:r>
          </w:p>
        </w:tc>
        <w:tc>
          <w:tcPr>
            <w:tcW w:w="1261" w:type="dxa"/>
          </w:tcPr>
          <w:p w:rsidR="005A0D59" w:rsidRDefault="005A0D59" w:rsidP="0054457C">
            <w:pPr>
              <w:pStyle w:val="xmsonormal"/>
              <w:jc w:val="center"/>
            </w:pPr>
            <w:r>
              <w:t>4.0</w:t>
            </w:r>
          </w:p>
        </w:tc>
      </w:tr>
      <w:tr w:rsidR="005A0D59" w:rsidTr="00961C61">
        <w:tc>
          <w:tcPr>
            <w:tcW w:w="1336" w:type="dxa"/>
          </w:tcPr>
          <w:p w:rsidR="005A0D59" w:rsidRDefault="005A0D59" w:rsidP="0054457C">
            <w:pPr>
              <w:pStyle w:val="xmsonormal"/>
              <w:jc w:val="center"/>
            </w:pPr>
            <w:r>
              <w:t>90 – 93.9</w:t>
            </w:r>
          </w:p>
        </w:tc>
        <w:tc>
          <w:tcPr>
            <w:tcW w:w="1809" w:type="dxa"/>
          </w:tcPr>
          <w:p w:rsidR="005A0D59" w:rsidRDefault="005A0D59" w:rsidP="0054457C">
            <w:pPr>
              <w:pStyle w:val="xmsonormal"/>
              <w:jc w:val="center"/>
            </w:pPr>
            <w:r>
              <w:t>405</w:t>
            </w:r>
          </w:p>
        </w:tc>
        <w:tc>
          <w:tcPr>
            <w:tcW w:w="1050" w:type="dxa"/>
          </w:tcPr>
          <w:p w:rsidR="005A0D59" w:rsidRDefault="005A0D59" w:rsidP="0054457C">
            <w:pPr>
              <w:pStyle w:val="xmsonormal"/>
              <w:jc w:val="center"/>
            </w:pPr>
            <w:r>
              <w:t>A-</w:t>
            </w:r>
          </w:p>
        </w:tc>
        <w:tc>
          <w:tcPr>
            <w:tcW w:w="1261" w:type="dxa"/>
          </w:tcPr>
          <w:p w:rsidR="005A0D59" w:rsidRDefault="005A0D59" w:rsidP="0054457C">
            <w:pPr>
              <w:pStyle w:val="xmsonormal"/>
              <w:jc w:val="center"/>
            </w:pPr>
            <w:r>
              <w:t>3.67</w:t>
            </w:r>
          </w:p>
        </w:tc>
      </w:tr>
      <w:tr w:rsidR="005A0D59" w:rsidTr="00961C61">
        <w:tc>
          <w:tcPr>
            <w:tcW w:w="1336" w:type="dxa"/>
          </w:tcPr>
          <w:p w:rsidR="005A0D59" w:rsidRDefault="005A0D59" w:rsidP="0054457C">
            <w:pPr>
              <w:pStyle w:val="xmsonormal"/>
              <w:jc w:val="center"/>
            </w:pPr>
            <w:r>
              <w:t>87 – 89.9</w:t>
            </w:r>
          </w:p>
        </w:tc>
        <w:tc>
          <w:tcPr>
            <w:tcW w:w="1809" w:type="dxa"/>
          </w:tcPr>
          <w:p w:rsidR="005A0D59" w:rsidRDefault="005A0D59" w:rsidP="0054457C">
            <w:pPr>
              <w:pStyle w:val="xmsonormal"/>
              <w:jc w:val="center"/>
            </w:pPr>
            <w:r>
              <w:t>392</w:t>
            </w:r>
          </w:p>
        </w:tc>
        <w:tc>
          <w:tcPr>
            <w:tcW w:w="1050" w:type="dxa"/>
          </w:tcPr>
          <w:p w:rsidR="005A0D59" w:rsidRDefault="005A0D59" w:rsidP="0054457C">
            <w:pPr>
              <w:pStyle w:val="xmsonormal"/>
              <w:jc w:val="center"/>
            </w:pPr>
            <w:r>
              <w:t>B+</w:t>
            </w:r>
          </w:p>
        </w:tc>
        <w:tc>
          <w:tcPr>
            <w:tcW w:w="1261" w:type="dxa"/>
          </w:tcPr>
          <w:p w:rsidR="005A0D59" w:rsidRDefault="005A0D59" w:rsidP="0054457C">
            <w:pPr>
              <w:pStyle w:val="xmsonormal"/>
              <w:jc w:val="center"/>
            </w:pPr>
            <w:r>
              <w:t>3.33</w:t>
            </w:r>
          </w:p>
        </w:tc>
      </w:tr>
      <w:tr w:rsidR="005A0D59" w:rsidTr="00961C61">
        <w:tc>
          <w:tcPr>
            <w:tcW w:w="1336" w:type="dxa"/>
          </w:tcPr>
          <w:p w:rsidR="005A0D59" w:rsidRDefault="005A0D59" w:rsidP="0054457C">
            <w:pPr>
              <w:pStyle w:val="xmsonormal"/>
              <w:jc w:val="center"/>
            </w:pPr>
            <w:r>
              <w:t>83 – 86.9</w:t>
            </w:r>
          </w:p>
        </w:tc>
        <w:tc>
          <w:tcPr>
            <w:tcW w:w="1809" w:type="dxa"/>
          </w:tcPr>
          <w:p w:rsidR="005A0D59" w:rsidRDefault="005A0D59" w:rsidP="0054457C">
            <w:pPr>
              <w:pStyle w:val="xmsonormal"/>
              <w:jc w:val="center"/>
            </w:pPr>
            <w:r>
              <w:t>374</w:t>
            </w:r>
          </w:p>
        </w:tc>
        <w:tc>
          <w:tcPr>
            <w:tcW w:w="1050" w:type="dxa"/>
          </w:tcPr>
          <w:p w:rsidR="005A0D59" w:rsidRDefault="005A0D59" w:rsidP="0054457C">
            <w:pPr>
              <w:pStyle w:val="xmsonormal"/>
              <w:jc w:val="center"/>
            </w:pPr>
            <w:r>
              <w:t>B</w:t>
            </w:r>
          </w:p>
        </w:tc>
        <w:tc>
          <w:tcPr>
            <w:tcW w:w="1261" w:type="dxa"/>
          </w:tcPr>
          <w:p w:rsidR="005A0D59" w:rsidRDefault="005A0D59" w:rsidP="0054457C">
            <w:pPr>
              <w:pStyle w:val="xmsonormal"/>
              <w:jc w:val="center"/>
            </w:pPr>
            <w:r>
              <w:t>3.0</w:t>
            </w:r>
          </w:p>
        </w:tc>
      </w:tr>
      <w:tr w:rsidR="005A0D59" w:rsidTr="00961C61">
        <w:tc>
          <w:tcPr>
            <w:tcW w:w="1336" w:type="dxa"/>
          </w:tcPr>
          <w:p w:rsidR="005A0D59" w:rsidRDefault="005A0D59" w:rsidP="0054457C">
            <w:pPr>
              <w:pStyle w:val="xmsonormal"/>
              <w:jc w:val="center"/>
            </w:pPr>
            <w:r>
              <w:t>80 – 82.9</w:t>
            </w:r>
          </w:p>
        </w:tc>
        <w:tc>
          <w:tcPr>
            <w:tcW w:w="1809" w:type="dxa"/>
          </w:tcPr>
          <w:p w:rsidR="005A0D59" w:rsidRDefault="005A0D59" w:rsidP="0054457C">
            <w:pPr>
              <w:pStyle w:val="xmsonormal"/>
              <w:jc w:val="center"/>
            </w:pPr>
            <w:r>
              <w:t>360</w:t>
            </w:r>
          </w:p>
        </w:tc>
        <w:tc>
          <w:tcPr>
            <w:tcW w:w="1050" w:type="dxa"/>
          </w:tcPr>
          <w:p w:rsidR="005A0D59" w:rsidRDefault="005A0D59" w:rsidP="0054457C">
            <w:pPr>
              <w:pStyle w:val="xmsonormal"/>
              <w:jc w:val="center"/>
            </w:pPr>
            <w:r>
              <w:t>B-</w:t>
            </w:r>
          </w:p>
        </w:tc>
        <w:tc>
          <w:tcPr>
            <w:tcW w:w="1261" w:type="dxa"/>
          </w:tcPr>
          <w:p w:rsidR="005A0D59" w:rsidRDefault="005A0D59" w:rsidP="0054457C">
            <w:pPr>
              <w:pStyle w:val="xmsonormal"/>
              <w:jc w:val="center"/>
            </w:pPr>
            <w:r>
              <w:t>2.67</w:t>
            </w:r>
          </w:p>
        </w:tc>
      </w:tr>
      <w:tr w:rsidR="005A0D59" w:rsidTr="00961C61">
        <w:tc>
          <w:tcPr>
            <w:tcW w:w="1336" w:type="dxa"/>
          </w:tcPr>
          <w:p w:rsidR="005A0D59" w:rsidRDefault="005A0D59" w:rsidP="0054457C">
            <w:pPr>
              <w:pStyle w:val="xmsonormal"/>
              <w:jc w:val="center"/>
            </w:pPr>
            <w:r>
              <w:t>77 – 79.9</w:t>
            </w:r>
          </w:p>
        </w:tc>
        <w:tc>
          <w:tcPr>
            <w:tcW w:w="1809" w:type="dxa"/>
          </w:tcPr>
          <w:p w:rsidR="005A0D59" w:rsidRDefault="0054457C" w:rsidP="0054457C">
            <w:pPr>
              <w:pStyle w:val="xmsonormal"/>
              <w:jc w:val="center"/>
            </w:pPr>
            <w:r>
              <w:t>347</w:t>
            </w:r>
          </w:p>
        </w:tc>
        <w:tc>
          <w:tcPr>
            <w:tcW w:w="1050" w:type="dxa"/>
          </w:tcPr>
          <w:p w:rsidR="005A0D59" w:rsidRDefault="005A0D59" w:rsidP="0054457C">
            <w:pPr>
              <w:pStyle w:val="xmsonormal"/>
              <w:jc w:val="center"/>
            </w:pPr>
            <w:r>
              <w:t>C+</w:t>
            </w:r>
          </w:p>
        </w:tc>
        <w:tc>
          <w:tcPr>
            <w:tcW w:w="1261" w:type="dxa"/>
          </w:tcPr>
          <w:p w:rsidR="005A0D59" w:rsidRDefault="005A0D59" w:rsidP="0054457C">
            <w:pPr>
              <w:pStyle w:val="xmsonormal"/>
              <w:jc w:val="center"/>
            </w:pPr>
            <w:r>
              <w:t>2.33</w:t>
            </w:r>
          </w:p>
        </w:tc>
      </w:tr>
      <w:tr w:rsidR="005A0D59" w:rsidTr="00961C61">
        <w:tc>
          <w:tcPr>
            <w:tcW w:w="1336" w:type="dxa"/>
          </w:tcPr>
          <w:p w:rsidR="005A0D59" w:rsidRDefault="005A0D59" w:rsidP="0054457C">
            <w:pPr>
              <w:pStyle w:val="xmsonormal"/>
              <w:jc w:val="center"/>
            </w:pPr>
            <w:r>
              <w:t>73 – 76.9</w:t>
            </w:r>
          </w:p>
        </w:tc>
        <w:tc>
          <w:tcPr>
            <w:tcW w:w="1809" w:type="dxa"/>
          </w:tcPr>
          <w:p w:rsidR="0054457C" w:rsidRDefault="0054457C" w:rsidP="0054457C">
            <w:pPr>
              <w:pStyle w:val="xmsonormal"/>
              <w:jc w:val="center"/>
            </w:pPr>
            <w:r>
              <w:t>329</w:t>
            </w:r>
          </w:p>
        </w:tc>
        <w:tc>
          <w:tcPr>
            <w:tcW w:w="1050" w:type="dxa"/>
          </w:tcPr>
          <w:p w:rsidR="005A0D59" w:rsidRDefault="005A0D59" w:rsidP="0054457C">
            <w:pPr>
              <w:pStyle w:val="xmsonormal"/>
              <w:jc w:val="center"/>
            </w:pPr>
            <w:r>
              <w:t>C</w:t>
            </w:r>
          </w:p>
        </w:tc>
        <w:tc>
          <w:tcPr>
            <w:tcW w:w="1261" w:type="dxa"/>
          </w:tcPr>
          <w:p w:rsidR="005A0D59" w:rsidRDefault="005A0D59" w:rsidP="0054457C">
            <w:pPr>
              <w:pStyle w:val="xmsonormal"/>
              <w:jc w:val="center"/>
            </w:pPr>
            <w:r>
              <w:t>2.0</w:t>
            </w:r>
          </w:p>
        </w:tc>
      </w:tr>
      <w:tr w:rsidR="0054457C" w:rsidTr="00961C61">
        <w:tc>
          <w:tcPr>
            <w:tcW w:w="1336" w:type="dxa"/>
          </w:tcPr>
          <w:p w:rsidR="0054457C" w:rsidRDefault="0054457C" w:rsidP="0054457C">
            <w:pPr>
              <w:pStyle w:val="xmsonormal"/>
              <w:jc w:val="center"/>
            </w:pPr>
            <w:r>
              <w:t>70 – 72.9</w:t>
            </w:r>
          </w:p>
        </w:tc>
        <w:tc>
          <w:tcPr>
            <w:tcW w:w="1809" w:type="dxa"/>
          </w:tcPr>
          <w:p w:rsidR="0054457C" w:rsidRDefault="0054457C" w:rsidP="0054457C">
            <w:pPr>
              <w:pStyle w:val="xmsonormal"/>
              <w:jc w:val="center"/>
            </w:pPr>
            <w:r>
              <w:t>315</w:t>
            </w:r>
          </w:p>
        </w:tc>
        <w:tc>
          <w:tcPr>
            <w:tcW w:w="1050" w:type="dxa"/>
          </w:tcPr>
          <w:p w:rsidR="0054457C" w:rsidRDefault="0054457C" w:rsidP="0054457C">
            <w:pPr>
              <w:pStyle w:val="xmsonormal"/>
              <w:jc w:val="center"/>
            </w:pPr>
            <w:r>
              <w:t>C-</w:t>
            </w:r>
          </w:p>
        </w:tc>
        <w:tc>
          <w:tcPr>
            <w:tcW w:w="1261" w:type="dxa"/>
          </w:tcPr>
          <w:p w:rsidR="0054457C" w:rsidRDefault="0054457C" w:rsidP="0054457C">
            <w:pPr>
              <w:pStyle w:val="xmsonormal"/>
              <w:jc w:val="center"/>
            </w:pPr>
            <w:r>
              <w:t>1.67</w:t>
            </w:r>
          </w:p>
        </w:tc>
      </w:tr>
      <w:tr w:rsidR="0054457C" w:rsidTr="00961C61">
        <w:tc>
          <w:tcPr>
            <w:tcW w:w="1336" w:type="dxa"/>
          </w:tcPr>
          <w:p w:rsidR="0054457C" w:rsidRDefault="0054457C" w:rsidP="0054457C">
            <w:pPr>
              <w:pStyle w:val="xmsonormal"/>
              <w:jc w:val="center"/>
            </w:pPr>
            <w:r>
              <w:t>67 – 69.9</w:t>
            </w:r>
          </w:p>
        </w:tc>
        <w:tc>
          <w:tcPr>
            <w:tcW w:w="1809" w:type="dxa"/>
          </w:tcPr>
          <w:p w:rsidR="0054457C" w:rsidRDefault="0054457C" w:rsidP="0054457C">
            <w:pPr>
              <w:pStyle w:val="xmsonormal"/>
              <w:jc w:val="center"/>
            </w:pPr>
            <w:r>
              <w:t>302</w:t>
            </w:r>
          </w:p>
        </w:tc>
        <w:tc>
          <w:tcPr>
            <w:tcW w:w="1050" w:type="dxa"/>
          </w:tcPr>
          <w:p w:rsidR="0054457C" w:rsidRDefault="0054457C" w:rsidP="0054457C">
            <w:pPr>
              <w:pStyle w:val="xmsonormal"/>
              <w:jc w:val="center"/>
            </w:pPr>
            <w:r>
              <w:t>D+</w:t>
            </w:r>
          </w:p>
        </w:tc>
        <w:tc>
          <w:tcPr>
            <w:tcW w:w="1261" w:type="dxa"/>
          </w:tcPr>
          <w:p w:rsidR="0054457C" w:rsidRDefault="0054457C" w:rsidP="0054457C">
            <w:pPr>
              <w:pStyle w:val="xmsonormal"/>
              <w:jc w:val="center"/>
            </w:pPr>
            <w:r>
              <w:t>1.33</w:t>
            </w:r>
          </w:p>
        </w:tc>
      </w:tr>
      <w:tr w:rsidR="0054457C" w:rsidTr="00961C61">
        <w:tc>
          <w:tcPr>
            <w:tcW w:w="1336" w:type="dxa"/>
          </w:tcPr>
          <w:p w:rsidR="0054457C" w:rsidRDefault="0054457C" w:rsidP="0054457C">
            <w:pPr>
              <w:pStyle w:val="xmsonormal"/>
              <w:jc w:val="center"/>
            </w:pPr>
            <w:r>
              <w:t>63 – 66.9</w:t>
            </w:r>
          </w:p>
        </w:tc>
        <w:tc>
          <w:tcPr>
            <w:tcW w:w="1809" w:type="dxa"/>
          </w:tcPr>
          <w:p w:rsidR="0054457C" w:rsidRDefault="0054457C" w:rsidP="0054457C">
            <w:pPr>
              <w:pStyle w:val="xmsonormal"/>
              <w:jc w:val="center"/>
            </w:pPr>
            <w:r>
              <w:t>284</w:t>
            </w:r>
          </w:p>
        </w:tc>
        <w:tc>
          <w:tcPr>
            <w:tcW w:w="1050" w:type="dxa"/>
          </w:tcPr>
          <w:p w:rsidR="0054457C" w:rsidRDefault="0054457C" w:rsidP="0054457C">
            <w:pPr>
              <w:pStyle w:val="xmsonormal"/>
              <w:jc w:val="center"/>
            </w:pPr>
            <w:r>
              <w:t>D</w:t>
            </w:r>
          </w:p>
        </w:tc>
        <w:tc>
          <w:tcPr>
            <w:tcW w:w="1261" w:type="dxa"/>
          </w:tcPr>
          <w:p w:rsidR="0054457C" w:rsidRDefault="0054457C" w:rsidP="0054457C">
            <w:pPr>
              <w:pStyle w:val="xmsonormal"/>
              <w:jc w:val="center"/>
            </w:pPr>
            <w:r>
              <w:t>1.0</w:t>
            </w:r>
          </w:p>
        </w:tc>
      </w:tr>
      <w:tr w:rsidR="0054457C" w:rsidTr="00961C61">
        <w:tc>
          <w:tcPr>
            <w:tcW w:w="1336" w:type="dxa"/>
          </w:tcPr>
          <w:p w:rsidR="0054457C" w:rsidRDefault="0054457C" w:rsidP="0054457C">
            <w:pPr>
              <w:pStyle w:val="xmsonormal"/>
              <w:jc w:val="center"/>
            </w:pPr>
            <w:r>
              <w:t>60 – 62.9</w:t>
            </w:r>
          </w:p>
        </w:tc>
        <w:tc>
          <w:tcPr>
            <w:tcW w:w="1809" w:type="dxa"/>
          </w:tcPr>
          <w:p w:rsidR="0054457C" w:rsidRDefault="0054457C" w:rsidP="0054457C">
            <w:pPr>
              <w:pStyle w:val="xmsonormal"/>
              <w:jc w:val="center"/>
            </w:pPr>
            <w:r>
              <w:t>270</w:t>
            </w:r>
          </w:p>
        </w:tc>
        <w:tc>
          <w:tcPr>
            <w:tcW w:w="1050" w:type="dxa"/>
          </w:tcPr>
          <w:p w:rsidR="0054457C" w:rsidRDefault="0054457C" w:rsidP="0054457C">
            <w:pPr>
              <w:pStyle w:val="xmsonormal"/>
              <w:jc w:val="center"/>
            </w:pPr>
            <w:r>
              <w:t>D-</w:t>
            </w:r>
          </w:p>
        </w:tc>
        <w:tc>
          <w:tcPr>
            <w:tcW w:w="1261" w:type="dxa"/>
          </w:tcPr>
          <w:p w:rsidR="0054457C" w:rsidRDefault="0054457C" w:rsidP="0054457C">
            <w:pPr>
              <w:pStyle w:val="xmsonormal"/>
              <w:jc w:val="center"/>
            </w:pPr>
            <w:r>
              <w:t>0.67</w:t>
            </w:r>
          </w:p>
        </w:tc>
      </w:tr>
      <w:tr w:rsidR="0054457C" w:rsidTr="00961C61">
        <w:tc>
          <w:tcPr>
            <w:tcW w:w="1336" w:type="dxa"/>
          </w:tcPr>
          <w:p w:rsidR="0054457C" w:rsidRDefault="0054457C" w:rsidP="0054457C">
            <w:pPr>
              <w:pStyle w:val="xmsonormal"/>
              <w:jc w:val="center"/>
            </w:pPr>
            <w:r>
              <w:t>59.9 or less</w:t>
            </w:r>
          </w:p>
        </w:tc>
        <w:tc>
          <w:tcPr>
            <w:tcW w:w="1809" w:type="dxa"/>
          </w:tcPr>
          <w:p w:rsidR="0054457C" w:rsidRDefault="0054457C" w:rsidP="0054457C">
            <w:pPr>
              <w:pStyle w:val="xmsonormal"/>
              <w:jc w:val="center"/>
            </w:pPr>
            <w:r>
              <w:t>269 or less</w:t>
            </w:r>
          </w:p>
        </w:tc>
        <w:tc>
          <w:tcPr>
            <w:tcW w:w="1050" w:type="dxa"/>
          </w:tcPr>
          <w:p w:rsidR="0054457C" w:rsidRDefault="0054457C" w:rsidP="0054457C">
            <w:pPr>
              <w:pStyle w:val="xmsonormal"/>
              <w:jc w:val="center"/>
            </w:pPr>
            <w:r>
              <w:t>F</w:t>
            </w:r>
          </w:p>
        </w:tc>
        <w:tc>
          <w:tcPr>
            <w:tcW w:w="1261" w:type="dxa"/>
          </w:tcPr>
          <w:p w:rsidR="0054457C" w:rsidRDefault="0054457C" w:rsidP="0054457C">
            <w:pPr>
              <w:pStyle w:val="xmsonormal"/>
              <w:jc w:val="center"/>
            </w:pPr>
            <w:r>
              <w:t>0.0</w:t>
            </w:r>
          </w:p>
        </w:tc>
      </w:tr>
    </w:tbl>
    <w:p w:rsidR="005A0D59" w:rsidRDefault="005A0D59" w:rsidP="005A0D59">
      <w:pPr>
        <w:pStyle w:val="xmsonormal"/>
      </w:pPr>
    </w:p>
    <w:p w:rsidR="00BD5E7B" w:rsidRDefault="005A0D59" w:rsidP="00B27716">
      <w:pPr>
        <w:pStyle w:val="xmsonormal"/>
      </w:pPr>
      <w:r>
        <w:t xml:space="preserve">For our class, </w:t>
      </w:r>
      <w:r w:rsidR="00502D43">
        <w:t xml:space="preserve">on the Pass/Pass-/No Credit system, </w:t>
      </w:r>
      <w:r>
        <w:t>any percentage above a 6</w:t>
      </w:r>
      <w:r w:rsidR="0054457C">
        <w:t>5 (Points above 293)</w:t>
      </w:r>
      <w:r>
        <w:t xml:space="preserve"> will be a Pass, percentages between 50 and 6</w:t>
      </w:r>
      <w:r w:rsidR="0054457C">
        <w:t>4.9 (Points between 225 and 292)</w:t>
      </w:r>
      <w:r>
        <w:t xml:space="preserve"> will be a Pass- and percentages below 50</w:t>
      </w:r>
      <w:r w:rsidR="00502D43">
        <w:t xml:space="preserve"> (Points 224 or less)</w:t>
      </w:r>
      <w:r>
        <w:t xml:space="preserve"> will be No Credit.</w:t>
      </w:r>
    </w:p>
    <w:p w:rsidR="00B27716" w:rsidRDefault="00B27716" w:rsidP="00B27716">
      <w:pPr>
        <w:pStyle w:val="xmsonormal"/>
      </w:pPr>
    </w:p>
    <w:p w:rsidR="00B27716" w:rsidRDefault="00B27716" w:rsidP="00B27716">
      <w:pPr>
        <w:pStyle w:val="xmsonormal"/>
        <w:rPr>
          <w:u w:val="single"/>
        </w:rPr>
      </w:pPr>
      <w:r w:rsidRPr="00B27716">
        <w:rPr>
          <w:u w:val="single"/>
        </w:rPr>
        <w:t>What if?</w:t>
      </w:r>
    </w:p>
    <w:p w:rsidR="00B27716" w:rsidRDefault="00B27716" w:rsidP="00B27716">
      <w:pPr>
        <w:pStyle w:val="xmsonormal"/>
        <w:rPr>
          <w:u w:val="single"/>
        </w:rPr>
      </w:pPr>
    </w:p>
    <w:p w:rsidR="00B27716" w:rsidRDefault="00385A71" w:rsidP="00B27716">
      <w:pPr>
        <w:pStyle w:val="xmsonormal"/>
      </w:pPr>
      <w:r>
        <w:t xml:space="preserve">There were 300 points available before Spring Break and will be 150 (15 assignments at 10 points per assignment) more for the online part of the class.  You can find how many point before the break you had on Canvas and you can add how many after break points you’ve earned from the OCAs.  </w:t>
      </w:r>
    </w:p>
    <w:p w:rsidR="00385A71" w:rsidRDefault="00385A71" w:rsidP="00B27716">
      <w:pPr>
        <w:pStyle w:val="xmsonormal"/>
      </w:pPr>
    </w:p>
    <w:p w:rsidR="00385A71" w:rsidRDefault="00385A71" w:rsidP="00B27716">
      <w:pPr>
        <w:pStyle w:val="xmsonormal"/>
      </w:pPr>
      <w:r>
        <w:t>What if you had 26</w:t>
      </w:r>
      <w:r w:rsidR="00CC3E49">
        <w:t>5</w:t>
      </w:r>
      <w:r>
        <w:t xml:space="preserve"> points before the break and have submitted three perfect OCAs for 3*10 = 30 more points?  That would put your current total at 26</w:t>
      </w:r>
      <w:r w:rsidR="00CC3E49">
        <w:t>5</w:t>
      </w:r>
      <w:r>
        <w:t xml:space="preserve"> + 30 = 29</w:t>
      </w:r>
      <w:r w:rsidR="00CC3E49">
        <w:t>5</w:t>
      </w:r>
      <w:r>
        <w:t>.  Good news – you have already passe</w:t>
      </w:r>
      <w:r w:rsidR="00CC3E49">
        <w:t>d</w:t>
      </w:r>
      <w:r>
        <w:t xml:space="preserve"> the class!  So</w:t>
      </w:r>
      <w:r w:rsidR="00CC3E49">
        <w:t>,</w:t>
      </w:r>
      <w:r>
        <w:t xml:space="preserve"> you could give up now, take the P, and </w:t>
      </w:r>
      <w:r w:rsidR="00CC3E49">
        <w:t>wash your hands (</w:t>
      </w:r>
      <w:r w:rsidR="00CC3E49" w:rsidRPr="00961C61">
        <w:rPr>
          <w:i/>
        </w:rPr>
        <w:t>pun intended</w:t>
      </w:r>
      <w:r w:rsidR="00CC3E49">
        <w:t>) of the rest of the course</w:t>
      </w:r>
      <w:r>
        <w:t xml:space="preserve">.  However, you’re probably looking at a possible </w:t>
      </w:r>
      <w:r w:rsidR="00CC3E49">
        <w:t>B+</w:t>
      </w:r>
      <w:r>
        <w:t xml:space="preserve"> or </w:t>
      </w:r>
      <w:r w:rsidR="00CC3E49">
        <w:t xml:space="preserve">some kind of </w:t>
      </w:r>
      <w:r>
        <w:t>A for the class</w:t>
      </w:r>
      <w:r w:rsidR="00CC3E49">
        <w:t xml:space="preserve"> so </w:t>
      </w:r>
      <w:r w:rsidR="009504DD">
        <w:t xml:space="preserve">you have an incentive </w:t>
      </w:r>
      <w:r w:rsidR="00CC3E49">
        <w:t xml:space="preserve">to keep it up, try to learn something and shoot for a good grade </w:t>
      </w:r>
      <w:r w:rsidR="00A74326">
        <w:t>that will help your overall GPA.</w:t>
      </w:r>
      <w:r w:rsidR="00CC3E49">
        <w:t xml:space="preserve">  </w:t>
      </w:r>
      <w:r w:rsidR="00CC3E49" w:rsidRPr="00CC3E49">
        <w:rPr>
          <w:b/>
        </w:rPr>
        <w:t>This is your choice</w:t>
      </w:r>
      <w:r w:rsidR="00CC3E49">
        <w:t>.</w:t>
      </w:r>
    </w:p>
    <w:p w:rsidR="00CC3E49" w:rsidRDefault="00CC3E49" w:rsidP="00B27716">
      <w:pPr>
        <w:pStyle w:val="xmsonormal"/>
      </w:pPr>
    </w:p>
    <w:p w:rsidR="00CC3E49" w:rsidRPr="00B27716" w:rsidRDefault="00CC3E49" w:rsidP="00B27716">
      <w:pPr>
        <w:pStyle w:val="xmsonormal"/>
      </w:pPr>
    </w:p>
    <w:sectPr w:rsidR="00CC3E49" w:rsidRPr="00B2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B93"/>
    <w:multiLevelType w:val="multilevel"/>
    <w:tmpl w:val="1F403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59"/>
    <w:rsid w:val="00385A71"/>
    <w:rsid w:val="00502D43"/>
    <w:rsid w:val="0054457C"/>
    <w:rsid w:val="005A0D59"/>
    <w:rsid w:val="00620156"/>
    <w:rsid w:val="009504DD"/>
    <w:rsid w:val="00961C61"/>
    <w:rsid w:val="00A74326"/>
    <w:rsid w:val="00B27716"/>
    <w:rsid w:val="00B8005C"/>
    <w:rsid w:val="00BD5E7B"/>
    <w:rsid w:val="00CC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5C718-BBAD-4A84-B5B2-8910FBB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D59"/>
    <w:pPr>
      <w:spacing w:after="0" w:line="240" w:lineRule="auto"/>
    </w:pPr>
  </w:style>
  <w:style w:type="paragraph" w:customStyle="1" w:styleId="xmsonormal">
    <w:name w:val="x_msonormal"/>
    <w:basedOn w:val="Normal"/>
    <w:rsid w:val="005A0D59"/>
  </w:style>
  <w:style w:type="table" w:styleId="TableGrid">
    <w:name w:val="Table Grid"/>
    <w:basedOn w:val="TableNormal"/>
    <w:uiPriority w:val="39"/>
    <w:rsid w:val="005A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2020-04-05T16:59:00Z</dcterms:created>
  <dcterms:modified xsi:type="dcterms:W3CDTF">2020-04-05T16:59:00Z</dcterms:modified>
</cp:coreProperties>
</file>